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872"/>
        <w:gridCol w:w="1211"/>
        <w:gridCol w:w="1170"/>
      </w:tblGrid>
      <w:tr w:rsidR="008C3114" w:rsidRPr="009045AF" w14:paraId="47513F2E" w14:textId="77777777" w:rsidTr="00733ADC">
        <w:trPr>
          <w:cantSplit/>
          <w:tblHeader/>
        </w:trPr>
        <w:tc>
          <w:tcPr>
            <w:tcW w:w="1483" w:type="dxa"/>
            <w:shd w:val="clear" w:color="auto" w:fill="auto"/>
            <w:noWrap/>
            <w:hideMark/>
          </w:tcPr>
          <w:p w14:paraId="637E9C01" w14:textId="77777777" w:rsidR="008C3114" w:rsidRPr="009045AF" w:rsidRDefault="008C3114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045A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No. </w:t>
            </w:r>
          </w:p>
        </w:tc>
        <w:tc>
          <w:tcPr>
            <w:tcW w:w="5872" w:type="dxa"/>
            <w:shd w:val="clear" w:color="auto" w:fill="auto"/>
            <w:noWrap/>
            <w:hideMark/>
          </w:tcPr>
          <w:p w14:paraId="0B33C648" w14:textId="77777777" w:rsidR="008C3114" w:rsidRPr="009045AF" w:rsidRDefault="008C3114" w:rsidP="00060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045AF">
              <w:rPr>
                <w:rFonts w:ascii="Arial" w:eastAsia="Times New Roman" w:hAnsi="Arial" w:cs="Arial"/>
                <w:b/>
                <w:bCs/>
                <w:lang w:eastAsia="en-GB"/>
              </w:rPr>
              <w:t>Recommendation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C4A6B8E" w14:textId="77777777" w:rsidR="008C3114" w:rsidRPr="009045AF" w:rsidRDefault="008C3114" w:rsidP="00060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045AF">
              <w:rPr>
                <w:rFonts w:ascii="Arial" w:eastAsia="Times New Roman" w:hAnsi="Arial" w:cs="Arial"/>
                <w:b/>
                <w:bCs/>
                <w:lang w:eastAsia="en-GB"/>
              </w:rPr>
              <w:t>Priority</w:t>
            </w:r>
          </w:p>
        </w:tc>
        <w:tc>
          <w:tcPr>
            <w:tcW w:w="1170" w:type="dxa"/>
            <w:shd w:val="clear" w:color="auto" w:fill="auto"/>
            <w:hideMark/>
          </w:tcPr>
          <w:p w14:paraId="2E0D17A7" w14:textId="77777777" w:rsidR="008C3114" w:rsidRPr="009045AF" w:rsidRDefault="008C3114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045AF">
              <w:rPr>
                <w:rFonts w:ascii="Arial" w:eastAsia="Times New Roman" w:hAnsi="Arial" w:cs="Arial"/>
                <w:b/>
                <w:bCs/>
                <w:lang w:eastAsia="en-GB"/>
              </w:rPr>
              <w:t>Progress</w:t>
            </w:r>
          </w:p>
        </w:tc>
      </w:tr>
      <w:tr w:rsidR="008C3114" w:rsidRPr="009045AF" w14:paraId="59038496" w14:textId="77777777" w:rsidTr="00FE45F6">
        <w:trPr>
          <w:cantSplit/>
          <w:tblHeader/>
        </w:trPr>
        <w:tc>
          <w:tcPr>
            <w:tcW w:w="9736" w:type="dxa"/>
            <w:gridSpan w:val="4"/>
            <w:shd w:val="clear" w:color="auto" w:fill="auto"/>
            <w:noWrap/>
          </w:tcPr>
          <w:p w14:paraId="12F19591" w14:textId="7CEB66B7" w:rsidR="008C3114" w:rsidRPr="009045AF" w:rsidRDefault="008C3114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  <w:r w:rsidRPr="009045AF">
              <w:rPr>
                <w:rFonts w:ascii="Arial" w:eastAsia="Times New Roman" w:hAnsi="Arial" w:cs="Arial"/>
                <w:bCs/>
                <w:color w:val="00B050"/>
                <w:sz w:val="18"/>
                <w:lang w:eastAsia="en-GB"/>
              </w:rPr>
              <w:sym w:font="Wingdings" w:char="F06C"/>
            </w:r>
            <w:r w:rsidRPr="009045AF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Fully implemented; </w:t>
            </w:r>
            <w:r w:rsidRPr="009045AF">
              <w:rPr>
                <w:rFonts w:ascii="Arial" w:eastAsia="Times New Roman" w:hAnsi="Arial" w:cs="Arial"/>
                <w:bCs/>
                <w:color w:val="FFC000"/>
                <w:sz w:val="18"/>
                <w:lang w:eastAsia="en-GB"/>
              </w:rPr>
              <w:sym w:font="Wingdings" w:char="F06C"/>
            </w:r>
            <w:r w:rsidRPr="009045AF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Partially implemented; </w:t>
            </w:r>
            <w:r w:rsidR="004733F2" w:rsidRPr="009045AF">
              <w:rPr>
                <w:rFonts w:ascii="Arial" w:eastAsia="Times New Roman" w:hAnsi="Arial" w:cs="Arial"/>
                <w:bCs/>
                <w:color w:val="0070C0"/>
                <w:sz w:val="18"/>
                <w:lang w:eastAsia="en-GB"/>
              </w:rPr>
              <w:sym w:font="Wingdings" w:char="F06C"/>
            </w:r>
            <w:r w:rsidR="004733F2" w:rsidRPr="009045AF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</w:t>
            </w:r>
            <w:r w:rsidR="004733F2">
              <w:rPr>
                <w:rFonts w:ascii="Arial" w:eastAsia="Times New Roman" w:hAnsi="Arial" w:cs="Arial"/>
                <w:bCs/>
                <w:sz w:val="18"/>
                <w:lang w:eastAsia="en-GB"/>
              </w:rPr>
              <w:t>Scheduled</w:t>
            </w:r>
            <w:r w:rsidR="004733F2" w:rsidRPr="009045AF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; </w:t>
            </w:r>
            <w:r w:rsidRPr="009045AF">
              <w:rPr>
                <w:rFonts w:ascii="Arial" w:eastAsia="Times New Roman" w:hAnsi="Arial" w:cs="Arial"/>
                <w:bCs/>
                <w:color w:val="FF0000"/>
                <w:sz w:val="18"/>
                <w:lang w:eastAsia="en-GB"/>
              </w:rPr>
              <w:sym w:font="Wingdings" w:char="F06C"/>
            </w:r>
            <w:r w:rsidRPr="009045AF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Outstanding</w:t>
            </w:r>
          </w:p>
        </w:tc>
      </w:tr>
      <w:tr w:rsidR="00FE45F6" w:rsidRPr="00FE45F6" w14:paraId="0A6D3378" w14:textId="77777777" w:rsidTr="00FE45F6">
        <w:trPr>
          <w:cantSplit/>
        </w:trPr>
        <w:tc>
          <w:tcPr>
            <w:tcW w:w="9736" w:type="dxa"/>
            <w:gridSpan w:val="4"/>
            <w:shd w:val="clear" w:color="auto" w:fill="auto"/>
            <w:noWrap/>
          </w:tcPr>
          <w:p w14:paraId="129C1F65" w14:textId="73559E8C" w:rsidR="004733F2" w:rsidRPr="00FE45F6" w:rsidRDefault="004733F2" w:rsidP="00FE4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A19A" w:themeColor="accent1"/>
                <w:lang w:eastAsia="en-GB"/>
              </w:rPr>
            </w:pPr>
            <w:r w:rsidRPr="00FE45F6">
              <w:rPr>
                <w:rFonts w:ascii="Arial" w:eastAsia="Times New Roman" w:hAnsi="Arial" w:cs="Arial"/>
                <w:b/>
                <w:bCs/>
                <w:color w:val="00A19A" w:themeColor="accent1"/>
                <w:lang w:eastAsia="en-GB"/>
              </w:rPr>
              <w:t>Review of Corporate Governance Arrangements</w:t>
            </w:r>
          </w:p>
        </w:tc>
      </w:tr>
      <w:tr w:rsidR="0064754C" w:rsidRPr="009045AF" w14:paraId="5CD485B4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1F1EAF22" w14:textId="25270FFA" w:rsidR="0064754C" w:rsidRPr="009045AF" w:rsidRDefault="0064754C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5872" w:type="dxa"/>
            <w:shd w:val="clear" w:color="auto" w:fill="auto"/>
            <w:hideMark/>
          </w:tcPr>
          <w:p w14:paraId="5331D67E" w14:textId="77777777" w:rsidR="0064754C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Updating the AAB’s terms of reference</w:t>
            </w:r>
          </w:p>
          <w:p w14:paraId="713BFCD6" w14:textId="77777777" w:rsidR="004733F2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73164D2" w14:textId="15DD9810" w:rsidR="004733F2" w:rsidRPr="009045AF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Update: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791150">
              <w:rPr>
                <w:rFonts w:ascii="Arial" w:eastAsia="Times New Roman" w:hAnsi="Arial" w:cs="Arial"/>
                <w:color w:val="000000"/>
                <w:lang w:eastAsia="en-GB"/>
              </w:rPr>
              <w:t>pproved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at AAB meeting on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20 July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2023</w:t>
            </w:r>
            <w:r w:rsidR="0079115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CF5B258" w14:textId="2113E1AD" w:rsidR="0064754C" w:rsidRPr="009045AF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Medium</w:t>
            </w:r>
          </w:p>
        </w:tc>
        <w:tc>
          <w:tcPr>
            <w:tcW w:w="1170" w:type="dxa"/>
            <w:shd w:val="clear" w:color="auto" w:fill="auto"/>
            <w:hideMark/>
          </w:tcPr>
          <w:p w14:paraId="38C79CBB" w14:textId="4D99DFF2" w:rsidR="0064754C" w:rsidRPr="009045AF" w:rsidRDefault="004F4063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42FF97E3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601A2713" w14:textId="5F3E6B72" w:rsidR="0064754C" w:rsidRPr="009045AF" w:rsidRDefault="004733F2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5872" w:type="dxa"/>
            <w:shd w:val="clear" w:color="auto" w:fill="auto"/>
            <w:hideMark/>
          </w:tcPr>
          <w:p w14:paraId="67E7CE90" w14:textId="77777777" w:rsidR="0064754C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Develop a Communications Strategy</w:t>
            </w:r>
          </w:p>
          <w:p w14:paraId="7F10460A" w14:textId="77777777" w:rsidR="004733F2" w:rsidRPr="005C3397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659F830" w14:textId="67BDD518" w:rsidR="004733F2" w:rsidRPr="009045AF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C3397">
              <w:rPr>
                <w:rFonts w:ascii="Arial" w:eastAsia="Times New Roman" w:hAnsi="Arial" w:cs="Arial"/>
                <w:lang w:eastAsia="en-GB"/>
              </w:rPr>
              <w:t xml:space="preserve">Update: </w:t>
            </w:r>
            <w:r w:rsidR="005C3397" w:rsidRPr="005C3397">
              <w:rPr>
                <w:rFonts w:ascii="Arial" w:eastAsia="Times New Roman" w:hAnsi="Arial" w:cs="Arial"/>
                <w:lang w:eastAsia="en-GB"/>
              </w:rPr>
              <w:t>Published 22 September 2023</w:t>
            </w:r>
            <w:r w:rsidR="00F8524B" w:rsidRPr="005C3397">
              <w:rPr>
                <w:rFonts w:ascii="Arial" w:eastAsia="Times New Roman" w:hAnsi="Arial" w:cs="Arial"/>
                <w:lang w:eastAsia="en-GB"/>
              </w:rPr>
              <w:t>.</w:t>
            </w:r>
            <w:r w:rsidR="005C3397" w:rsidRPr="005C3397">
              <w:rPr>
                <w:rFonts w:ascii="Arial" w:eastAsia="Times New Roman" w:hAnsi="Arial" w:cs="Arial"/>
                <w:lang w:eastAsia="en-GB"/>
              </w:rPr>
              <w:t xml:space="preserve"> An Easy Read version was also published.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493460C" w14:textId="2BC8733B" w:rsidR="0064754C" w:rsidRPr="009045AF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Medium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F2F075" w14:textId="326CC5ED" w:rsidR="0064754C" w:rsidRPr="009045AF" w:rsidRDefault="005C3397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50CE678D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6272C212" w14:textId="2A133711" w:rsidR="0064754C" w:rsidRPr="009045AF" w:rsidRDefault="004733F2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3.1</w:t>
            </w:r>
          </w:p>
        </w:tc>
        <w:tc>
          <w:tcPr>
            <w:tcW w:w="5872" w:type="dxa"/>
            <w:shd w:val="clear" w:color="auto" w:fill="auto"/>
            <w:hideMark/>
          </w:tcPr>
          <w:p w14:paraId="14FF5BB4" w14:textId="77777777" w:rsidR="0064754C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Continue review of policies and procedures</w:t>
            </w:r>
          </w:p>
          <w:p w14:paraId="42F28F26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78C07E0" w14:textId="4E95BBEB" w:rsidR="00601251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Update: </w:t>
            </w:r>
            <w:r w:rsidR="00791150">
              <w:rPr>
                <w:rFonts w:ascii="Arial" w:eastAsia="Times New Roman" w:hAnsi="Arial" w:cs="Arial"/>
                <w:color w:val="000000"/>
                <w:lang w:eastAsia="en-GB"/>
              </w:rPr>
              <w:t>Policy review and management n</w:t>
            </w:r>
            <w:r w:rsidR="00FE45F6">
              <w:rPr>
                <w:rFonts w:ascii="Arial" w:eastAsia="Times New Roman" w:hAnsi="Arial" w:cs="Arial"/>
                <w:color w:val="000000"/>
                <w:lang w:eastAsia="en-GB"/>
              </w:rPr>
              <w:t>ow ongoing.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2170654" w14:textId="77777777" w:rsidR="0064754C" w:rsidRPr="009045AF" w:rsidRDefault="0064754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0000"/>
                <w:lang w:eastAsia="en-GB"/>
              </w:rPr>
              <w:t>Medium</w:t>
            </w:r>
          </w:p>
        </w:tc>
        <w:tc>
          <w:tcPr>
            <w:tcW w:w="1170" w:type="dxa"/>
            <w:shd w:val="clear" w:color="000000" w:fill="auto"/>
            <w:hideMark/>
          </w:tcPr>
          <w:p w14:paraId="485A71D9" w14:textId="62E1D9C5" w:rsidR="0064754C" w:rsidRPr="009045AF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FE45F6" w:rsidRPr="00FE45F6" w14:paraId="02731F31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</w:tcPr>
          <w:p w14:paraId="7969E8F8" w14:textId="436D894E" w:rsidR="004733F2" w:rsidRPr="00791150" w:rsidRDefault="004733F2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91150">
              <w:rPr>
                <w:rFonts w:ascii="Arial" w:eastAsia="Times New Roman" w:hAnsi="Arial" w:cs="Arial"/>
                <w:lang w:eastAsia="en-GB"/>
              </w:rPr>
              <w:t>3.2</w:t>
            </w:r>
          </w:p>
        </w:tc>
        <w:tc>
          <w:tcPr>
            <w:tcW w:w="5872" w:type="dxa"/>
            <w:shd w:val="clear" w:color="auto" w:fill="auto"/>
          </w:tcPr>
          <w:p w14:paraId="1EA59F05" w14:textId="2F82F52C" w:rsidR="004733F2" w:rsidRPr="00791150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1150">
              <w:rPr>
                <w:rFonts w:ascii="Arial" w:eastAsia="Times New Roman" w:hAnsi="Arial" w:cs="Arial"/>
                <w:lang w:eastAsia="en-GB"/>
              </w:rPr>
              <w:t>Include the ‘date of next review</w:t>
            </w:r>
            <w:r w:rsidR="00C87566" w:rsidRPr="00791150">
              <w:rPr>
                <w:rFonts w:ascii="Arial" w:eastAsia="Times New Roman" w:hAnsi="Arial" w:cs="Arial"/>
                <w:lang w:eastAsia="en-GB"/>
              </w:rPr>
              <w:t>’</w:t>
            </w:r>
            <w:r w:rsidRPr="00791150">
              <w:rPr>
                <w:rFonts w:ascii="Arial" w:eastAsia="Times New Roman" w:hAnsi="Arial" w:cs="Arial"/>
                <w:lang w:eastAsia="en-GB"/>
              </w:rPr>
              <w:t xml:space="preserve"> in all policies</w:t>
            </w:r>
          </w:p>
          <w:p w14:paraId="68200E65" w14:textId="77777777" w:rsidR="00601251" w:rsidRPr="00791150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F1B65DB" w14:textId="6EBFFBBF" w:rsidR="00601251" w:rsidRPr="00791150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1150">
              <w:rPr>
                <w:rFonts w:ascii="Arial" w:eastAsia="Times New Roman" w:hAnsi="Arial" w:cs="Arial"/>
                <w:lang w:eastAsia="en-GB"/>
              </w:rPr>
              <w:t>Update</w:t>
            </w:r>
            <w:r w:rsidR="00791150" w:rsidRPr="00791150">
              <w:rPr>
                <w:rFonts w:ascii="Arial" w:eastAsia="Times New Roman" w:hAnsi="Arial" w:cs="Arial"/>
                <w:lang w:eastAsia="en-GB"/>
              </w:rPr>
              <w:t>: Accepted and including when policies are reviewed</w:t>
            </w:r>
          </w:p>
        </w:tc>
        <w:tc>
          <w:tcPr>
            <w:tcW w:w="1211" w:type="dxa"/>
            <w:shd w:val="clear" w:color="auto" w:fill="auto"/>
            <w:noWrap/>
          </w:tcPr>
          <w:p w14:paraId="091F74D4" w14:textId="575D28BA" w:rsidR="004733F2" w:rsidRPr="00791150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1150">
              <w:rPr>
                <w:rFonts w:ascii="Arial" w:eastAsia="Times New Roman" w:hAnsi="Arial" w:cs="Arial"/>
                <w:lang w:eastAsia="en-GB"/>
              </w:rPr>
              <w:t>Medium</w:t>
            </w:r>
          </w:p>
        </w:tc>
        <w:tc>
          <w:tcPr>
            <w:tcW w:w="1170" w:type="dxa"/>
            <w:shd w:val="clear" w:color="000000" w:fill="auto"/>
          </w:tcPr>
          <w:p w14:paraId="16D19CA5" w14:textId="226930AD" w:rsidR="004733F2" w:rsidRPr="00FE45F6" w:rsidRDefault="00791150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0359D9AC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19677546" w14:textId="2DD7ED58" w:rsidR="0064754C" w:rsidRPr="009045AF" w:rsidRDefault="004733F2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3.3</w:t>
            </w:r>
          </w:p>
        </w:tc>
        <w:tc>
          <w:tcPr>
            <w:tcW w:w="5872" w:type="dxa"/>
            <w:shd w:val="clear" w:color="auto" w:fill="auto"/>
            <w:hideMark/>
          </w:tcPr>
          <w:p w14:paraId="11EF7AD9" w14:textId="77777777" w:rsidR="0064754C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Prepare and Anti-Bribery Policy</w:t>
            </w:r>
          </w:p>
          <w:p w14:paraId="1A72D8EA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10ACB3C" w14:textId="7A4B3819" w:rsidR="00601251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</w:t>
            </w:r>
            <w:r w:rsidR="00FE45F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6038E">
              <w:rPr>
                <w:rFonts w:ascii="Arial" w:eastAsia="Times New Roman" w:hAnsi="Arial" w:cs="Arial"/>
                <w:color w:val="000000"/>
                <w:lang w:eastAsia="en-GB"/>
              </w:rPr>
              <w:t>Approved 19/07/23 and published.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623773F" w14:textId="63EBE24C" w:rsidR="0064754C" w:rsidRPr="009045AF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Medium</w:t>
            </w:r>
          </w:p>
        </w:tc>
        <w:tc>
          <w:tcPr>
            <w:tcW w:w="1170" w:type="dxa"/>
            <w:shd w:val="clear" w:color="auto" w:fill="auto"/>
            <w:hideMark/>
          </w:tcPr>
          <w:p w14:paraId="19A25314" w14:textId="137082D8" w:rsidR="0064754C" w:rsidRPr="009045AF" w:rsidRDefault="00791150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06038E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682FCF25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29003FD4" w14:textId="09244F67" w:rsidR="0064754C" w:rsidRPr="009045AF" w:rsidRDefault="004733F2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3.4</w:t>
            </w:r>
          </w:p>
        </w:tc>
        <w:tc>
          <w:tcPr>
            <w:tcW w:w="5872" w:type="dxa"/>
            <w:shd w:val="clear" w:color="auto" w:fill="auto"/>
            <w:hideMark/>
          </w:tcPr>
          <w:p w14:paraId="076279E1" w14:textId="77777777" w:rsidR="0064754C" w:rsidRDefault="004733F2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Provide regular policy refresher sessions to staff</w:t>
            </w:r>
          </w:p>
          <w:p w14:paraId="27A79691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99D5F2B" w14:textId="3A9F8065" w:rsidR="00601251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Assigned to new HRFO role. First refresher delivered on 5 April with others identified and scheduled.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5589C1B" w14:textId="77777777" w:rsidR="0064754C" w:rsidRPr="009045AF" w:rsidRDefault="0064754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0000"/>
                <w:lang w:eastAsia="en-GB"/>
              </w:rPr>
              <w:t>Medium</w:t>
            </w:r>
          </w:p>
        </w:tc>
        <w:tc>
          <w:tcPr>
            <w:tcW w:w="1170" w:type="dxa"/>
            <w:shd w:val="clear" w:color="auto" w:fill="auto"/>
            <w:hideMark/>
          </w:tcPr>
          <w:p w14:paraId="6369AD72" w14:textId="0DE6D980" w:rsidR="0064754C" w:rsidRPr="009045AF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01251" w:rsidRPr="009045AF" w14:paraId="4E7053C5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</w:tcPr>
          <w:p w14:paraId="11BBD931" w14:textId="464A99A9" w:rsidR="00601251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5872" w:type="dxa"/>
            <w:shd w:val="clear" w:color="auto" w:fill="auto"/>
          </w:tcPr>
          <w:p w14:paraId="31127236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Minutes of SMT and AAB meetings to provide evidence of challenge.</w:t>
            </w:r>
          </w:p>
          <w:p w14:paraId="3E3FCA8B" w14:textId="77777777" w:rsidR="00FE45F6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E87F195" w14:textId="1DEABC00" w:rsidR="00FE45F6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Implemented in 2022</w:t>
            </w:r>
          </w:p>
        </w:tc>
        <w:tc>
          <w:tcPr>
            <w:tcW w:w="1211" w:type="dxa"/>
            <w:shd w:val="clear" w:color="auto" w:fill="auto"/>
            <w:noWrap/>
          </w:tcPr>
          <w:p w14:paraId="704BD797" w14:textId="6DA1559D" w:rsidR="00601251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14:paraId="289A9C71" w14:textId="4D91B1C9" w:rsidR="00601251" w:rsidRPr="009045AF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C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8C3114" w:rsidRPr="009045AF" w14:paraId="0A9620A7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0D2AAB64" w14:textId="5F0CED37" w:rsidR="008C3114" w:rsidRPr="009045AF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5872" w:type="dxa"/>
            <w:shd w:val="clear" w:color="auto" w:fill="auto"/>
            <w:hideMark/>
          </w:tcPr>
          <w:p w14:paraId="7E8AC237" w14:textId="77777777" w:rsidR="008C3114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Develop SMT terms of reference</w:t>
            </w:r>
          </w:p>
          <w:p w14:paraId="222060ED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8FDD2DA" w14:textId="4A8EAD27" w:rsidR="00601251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</w:t>
            </w:r>
            <w:r w:rsidR="00D8428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F8524B">
              <w:rPr>
                <w:rFonts w:ascii="Arial" w:eastAsia="Times New Roman" w:hAnsi="Arial" w:cs="Arial"/>
                <w:color w:val="000000"/>
                <w:lang w:eastAsia="en-GB"/>
              </w:rPr>
              <w:t>pprov</w:t>
            </w:r>
            <w:r w:rsidR="00D8428B">
              <w:rPr>
                <w:rFonts w:ascii="Arial" w:eastAsia="Times New Roman" w:hAnsi="Arial" w:cs="Arial"/>
                <w:color w:val="000000"/>
                <w:lang w:eastAsia="en-GB"/>
              </w:rPr>
              <w:t xml:space="preserve">ed </w:t>
            </w:r>
            <w:r w:rsidR="00F8524B">
              <w:rPr>
                <w:rFonts w:ascii="Arial" w:eastAsia="Times New Roman" w:hAnsi="Arial" w:cs="Arial"/>
                <w:color w:val="000000"/>
                <w:lang w:eastAsia="en-GB"/>
              </w:rPr>
              <w:t xml:space="preserve">by SMT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via correspondence on 17 July 2023</w:t>
            </w:r>
            <w:r w:rsidR="00D8428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C8EBF85" w14:textId="7D8CD91C" w:rsidR="008C3114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0B5658B7" w14:textId="7217730A" w:rsidR="008C3114" w:rsidRPr="009045AF" w:rsidRDefault="004F4063" w:rsidP="008C3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4CAD0209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1BA28117" w14:textId="1528F929" w:rsidR="0064754C" w:rsidRPr="009045AF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5872" w:type="dxa"/>
            <w:shd w:val="clear" w:color="auto" w:fill="auto"/>
            <w:hideMark/>
          </w:tcPr>
          <w:p w14:paraId="23A41180" w14:textId="25B89B70" w:rsidR="0064754C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Develop a schedule of meeting dates and business for the AAB</w:t>
            </w:r>
          </w:p>
          <w:p w14:paraId="003D13F3" w14:textId="77777777" w:rsidR="00601251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43F1A95" w14:textId="5094147B" w:rsidR="00601251" w:rsidRPr="009045AF" w:rsidRDefault="00F8524B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Update: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Approved at AAB meeting on 20 July 2023.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3EBAE0E" w14:textId="4DE5F9FC" w:rsidR="0064754C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812674" w14:textId="627DA3CD" w:rsidR="0064754C" w:rsidRPr="009045AF" w:rsidRDefault="004F4063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C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762A9208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24340191" w14:textId="6709E875" w:rsidR="0064754C" w:rsidRPr="009045AF" w:rsidRDefault="00601251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5872" w:type="dxa"/>
            <w:shd w:val="clear" w:color="auto" w:fill="auto"/>
            <w:hideMark/>
          </w:tcPr>
          <w:p w14:paraId="4BDA52DC" w14:textId="375EFD29" w:rsidR="0064754C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Investigate develop</w:t>
            </w:r>
            <w:r w:rsidR="00733ADC">
              <w:rPr>
                <w:rFonts w:ascii="Arial" w:eastAsia="Times New Roman" w:hAnsi="Arial" w:cs="Arial"/>
                <w:color w:val="000000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 MoU with the SPCB for the provision of AAB services</w:t>
            </w:r>
          </w:p>
          <w:p w14:paraId="337B917F" w14:textId="77777777" w:rsidR="00FE45F6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A2CD989" w14:textId="2977841A" w:rsidR="00FE45F6" w:rsidRPr="009045AF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Scheduled for 2023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5A25003" w14:textId="02D2267F" w:rsidR="0064754C" w:rsidRPr="009045AF" w:rsidRDefault="00601251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000000" w:fill="auto"/>
            <w:hideMark/>
          </w:tcPr>
          <w:p w14:paraId="5EE444A7" w14:textId="2ED63FDF" w:rsidR="0064754C" w:rsidRPr="009045AF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4733F2">
              <w:rPr>
                <w:rFonts w:ascii="Arial" w:eastAsia="Times New Roman" w:hAnsi="Arial" w:cs="Arial"/>
                <w:color w:val="0070C0"/>
                <w:lang w:eastAsia="en-GB"/>
              </w:rPr>
              <w:sym w:font="Wingdings" w:char="F06C"/>
            </w:r>
          </w:p>
        </w:tc>
      </w:tr>
      <w:tr w:rsidR="0064754C" w:rsidRPr="009045AF" w14:paraId="285099B9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5A31352A" w14:textId="4749E11A" w:rsidR="0064754C" w:rsidRPr="009045AF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5872" w:type="dxa"/>
            <w:shd w:val="clear" w:color="auto" w:fill="auto"/>
            <w:hideMark/>
          </w:tcPr>
          <w:p w14:paraId="6386AD87" w14:textId="77777777" w:rsidR="0064754C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Develop a suite of KPIs for the organisation</w:t>
            </w:r>
          </w:p>
          <w:p w14:paraId="07E08367" w14:textId="77777777" w:rsidR="00FE45F6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CD17AA1" w14:textId="300DAB26" w:rsidR="00FE45F6" w:rsidRPr="009045AF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Adopted by SMT in March 2023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B5A3B51" w14:textId="54B7B005" w:rsidR="0064754C" w:rsidRPr="009045AF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4FA2818B" w14:textId="581D186A" w:rsidR="0064754C" w:rsidRPr="009045AF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C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2D6649A9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37261B16" w14:textId="4C91AE84" w:rsidR="0064754C" w:rsidRPr="009045AF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5872" w:type="dxa"/>
            <w:shd w:val="clear" w:color="auto" w:fill="auto"/>
            <w:hideMark/>
          </w:tcPr>
          <w:p w14:paraId="24492CD8" w14:textId="77777777" w:rsidR="0064754C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Review the Whistleblowing Policy</w:t>
            </w:r>
          </w:p>
          <w:p w14:paraId="025EEA95" w14:textId="77777777" w:rsidR="00FE45F6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BE9DC67" w14:textId="4B46E48F" w:rsidR="00FE45F6" w:rsidRPr="009045AF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Update: </w:t>
            </w:r>
            <w:r w:rsidR="004F4063">
              <w:rPr>
                <w:rFonts w:ascii="Arial" w:eastAsia="Times New Roman" w:hAnsi="Arial" w:cs="Arial"/>
                <w:color w:val="000000"/>
                <w:lang w:eastAsia="en-GB"/>
              </w:rPr>
              <w:t>Issued for staff consultation.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5B94B36" w14:textId="29C5EA49" w:rsidR="0064754C" w:rsidRPr="009045AF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108730C2" w14:textId="715D571D" w:rsidR="0064754C" w:rsidRPr="009045AF" w:rsidRDefault="004B43C7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FE45F6" w:rsidRPr="009045AF" w14:paraId="6DD826B7" w14:textId="77777777" w:rsidTr="0006038E">
        <w:trPr>
          <w:cantSplit/>
        </w:trPr>
        <w:tc>
          <w:tcPr>
            <w:tcW w:w="9736" w:type="dxa"/>
            <w:gridSpan w:val="4"/>
            <w:shd w:val="clear" w:color="auto" w:fill="auto"/>
            <w:noWrap/>
          </w:tcPr>
          <w:p w14:paraId="798E9431" w14:textId="76470046" w:rsidR="00FE45F6" w:rsidRPr="00FE45F6" w:rsidRDefault="00FE45F6" w:rsidP="00FE45F6">
            <w:pPr>
              <w:spacing w:after="0" w:line="240" w:lineRule="auto"/>
              <w:rPr>
                <w:rFonts w:ascii="Arial" w:eastAsia="Times New Roman" w:hAnsi="Arial" w:cs="Arial"/>
                <w:b/>
                <w:color w:val="00A19A" w:themeColor="accent1"/>
                <w:lang w:eastAsia="en-GB"/>
              </w:rPr>
            </w:pPr>
            <w:bookmarkStart w:id="0" w:name="_Hlk140220194"/>
            <w:r w:rsidRPr="00FE45F6">
              <w:rPr>
                <w:rFonts w:ascii="Arial" w:eastAsia="Times New Roman" w:hAnsi="Arial" w:cs="Arial"/>
                <w:b/>
                <w:color w:val="00A19A" w:themeColor="accent1"/>
                <w:lang w:eastAsia="en-GB"/>
              </w:rPr>
              <w:t>Review of Investigations Processes</w:t>
            </w:r>
          </w:p>
        </w:tc>
      </w:tr>
      <w:tr w:rsidR="009F71C8" w:rsidRPr="009F71C8" w14:paraId="7581D449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4824A14D" w14:textId="392E13D6" w:rsidR="0064754C" w:rsidRPr="000918F5" w:rsidRDefault="00FE45F6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918F5">
              <w:rPr>
                <w:rFonts w:ascii="Arial" w:eastAsia="Times New Roman" w:hAnsi="Arial" w:cs="Arial"/>
                <w:lang w:eastAsia="en-GB"/>
              </w:rPr>
              <w:lastRenderedPageBreak/>
              <w:t>1</w:t>
            </w:r>
          </w:p>
        </w:tc>
        <w:tc>
          <w:tcPr>
            <w:tcW w:w="5872" w:type="dxa"/>
            <w:shd w:val="clear" w:color="auto" w:fill="auto"/>
            <w:hideMark/>
          </w:tcPr>
          <w:p w14:paraId="74926ABF" w14:textId="034B3367" w:rsidR="0064754C" w:rsidRPr="000918F5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918F5">
              <w:rPr>
                <w:rFonts w:ascii="Arial" w:eastAsia="Times New Roman" w:hAnsi="Arial" w:cs="Arial"/>
                <w:lang w:eastAsia="en-GB"/>
              </w:rPr>
              <w:t>Once new staff recruited, develop a detailed schedule</w:t>
            </w:r>
            <w:r w:rsidR="000918F5" w:rsidRPr="000918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9F71C8" w:rsidRPr="000918F5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 w:rsidRPr="000918F5">
              <w:rPr>
                <w:rFonts w:ascii="Arial" w:eastAsia="Times New Roman" w:hAnsi="Arial" w:cs="Arial"/>
                <w:lang w:eastAsia="en-GB"/>
              </w:rPr>
              <w:t>address the backlog of cases.</w:t>
            </w:r>
          </w:p>
          <w:p w14:paraId="5A364512" w14:textId="77777777" w:rsidR="00FE45F6" w:rsidRPr="000918F5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04CD6B2" w14:textId="23A3B2C8" w:rsidR="00FE45F6" w:rsidRPr="000918F5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918F5">
              <w:rPr>
                <w:rFonts w:ascii="Arial" w:eastAsia="Times New Roman" w:hAnsi="Arial" w:cs="Arial"/>
                <w:lang w:eastAsia="en-GB"/>
              </w:rPr>
              <w:t xml:space="preserve">Update: </w:t>
            </w:r>
            <w:r w:rsidR="000918F5" w:rsidRPr="005C3397">
              <w:rPr>
                <w:rFonts w:ascii="Arial" w:hAnsi="Arial" w:cs="Arial"/>
                <w:lang w:eastAsia="en-GB"/>
              </w:rPr>
              <w:t>Recruitment complete; staff onboard early May; detail</w:t>
            </w:r>
            <w:r w:rsidR="005C3397" w:rsidRPr="005C3397">
              <w:rPr>
                <w:rFonts w:ascii="Arial" w:hAnsi="Arial" w:cs="Arial"/>
                <w:lang w:eastAsia="en-GB"/>
              </w:rPr>
              <w:t>ed</w:t>
            </w:r>
            <w:r w:rsidR="000918F5" w:rsidRPr="005C3397">
              <w:rPr>
                <w:rFonts w:ascii="Arial" w:hAnsi="Arial" w:cs="Arial"/>
                <w:lang w:eastAsia="en-GB"/>
              </w:rPr>
              <w:t xml:space="preserve"> procedure for handling backlog included in Manual in Mar 23; backlog being addressed (complaints allocated up to </w:t>
            </w:r>
            <w:r w:rsidR="005C3397" w:rsidRPr="005C3397">
              <w:rPr>
                <w:rFonts w:ascii="Arial" w:hAnsi="Arial" w:cs="Arial"/>
                <w:lang w:eastAsia="en-GB"/>
              </w:rPr>
              <w:t>Jun</w:t>
            </w:r>
            <w:r w:rsidR="000918F5" w:rsidRPr="005C3397">
              <w:rPr>
                <w:rFonts w:ascii="Arial" w:hAnsi="Arial" w:cs="Arial"/>
                <w:lang w:eastAsia="en-GB"/>
              </w:rPr>
              <w:t xml:space="preserve"> 2023 with new staff onboard).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ED54EB1" w14:textId="2BEAFE8A" w:rsidR="0064754C" w:rsidRPr="000918F5" w:rsidRDefault="00FE45F6" w:rsidP="0006038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918F5">
              <w:rPr>
                <w:rFonts w:ascii="Arial" w:eastAsia="Times New Roman" w:hAnsi="Arial" w:cs="Arial"/>
                <w:lang w:eastAsia="en-GB"/>
              </w:rPr>
              <w:t>Medium</w:t>
            </w:r>
          </w:p>
        </w:tc>
        <w:tc>
          <w:tcPr>
            <w:tcW w:w="1170" w:type="dxa"/>
            <w:shd w:val="clear" w:color="auto" w:fill="auto"/>
            <w:hideMark/>
          </w:tcPr>
          <w:p w14:paraId="3838C8F3" w14:textId="448D2775" w:rsidR="0064754C" w:rsidRPr="009F71C8" w:rsidRDefault="000918F5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FFC000"/>
                <w:lang w:eastAsia="en-GB"/>
              </w:rPr>
              <w:sym w:font="Wingdings" w:char="F06C"/>
            </w:r>
          </w:p>
        </w:tc>
      </w:tr>
      <w:tr w:rsidR="000337A5" w:rsidRPr="009F71C8" w14:paraId="3B667888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10B9F5B3" w14:textId="091F81F4" w:rsidR="000337A5" w:rsidRPr="000337A5" w:rsidRDefault="000337A5" w:rsidP="000337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337A5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5872" w:type="dxa"/>
            <w:shd w:val="clear" w:color="auto" w:fill="auto"/>
            <w:hideMark/>
          </w:tcPr>
          <w:p w14:paraId="03B461F1" w14:textId="77777777" w:rsidR="000337A5" w:rsidRPr="000918F5" w:rsidRDefault="000337A5" w:rsidP="000337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337A5">
              <w:rPr>
                <w:rFonts w:ascii="Arial" w:eastAsia="Times New Roman" w:hAnsi="Arial" w:cs="Arial"/>
                <w:lang w:eastAsia="en-GB"/>
              </w:rPr>
              <w:t xml:space="preserve">Develop a formal process for super-complaints and </w:t>
            </w:r>
            <w:r w:rsidRPr="000918F5">
              <w:rPr>
                <w:rFonts w:ascii="Arial" w:eastAsia="Times New Roman" w:hAnsi="Arial" w:cs="Arial"/>
                <w:lang w:eastAsia="en-GB"/>
              </w:rPr>
              <w:t>incorporate into manual.</w:t>
            </w:r>
          </w:p>
          <w:p w14:paraId="2FD8DF86" w14:textId="77777777" w:rsidR="000337A5" w:rsidRPr="000918F5" w:rsidRDefault="000337A5" w:rsidP="000337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9138D33" w14:textId="65997605" w:rsidR="000337A5" w:rsidRPr="000337A5" w:rsidRDefault="000337A5" w:rsidP="000337A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918F5">
              <w:rPr>
                <w:rFonts w:ascii="Arial" w:eastAsia="Times New Roman" w:hAnsi="Arial" w:cs="Arial"/>
                <w:lang w:eastAsia="en-GB"/>
              </w:rPr>
              <w:t xml:space="preserve">Update: </w:t>
            </w:r>
            <w:r w:rsidR="000918F5" w:rsidRPr="000918F5">
              <w:rPr>
                <w:rFonts w:ascii="Arial" w:eastAsia="Times New Roman" w:hAnsi="Arial" w:cs="Arial"/>
                <w:lang w:eastAsia="en-GB"/>
              </w:rPr>
              <w:t>Completed</w:t>
            </w:r>
            <w:r w:rsidRPr="000918F5">
              <w:rPr>
                <w:rFonts w:ascii="Arial" w:eastAsia="Times New Roman" w:hAnsi="Arial" w:cs="Arial"/>
                <w:lang w:eastAsia="en-GB"/>
              </w:rPr>
              <w:t xml:space="preserve"> Mar23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E1CA7B6" w14:textId="595732B4" w:rsidR="000337A5" w:rsidRPr="009F71C8" w:rsidRDefault="000337A5" w:rsidP="000337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0337A5">
              <w:rPr>
                <w:rFonts w:ascii="Arial" w:eastAsia="Times New Roman" w:hAnsi="Arial" w:cs="Arial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7C5A9DD9" w14:textId="419956DD" w:rsidR="000337A5" w:rsidRPr="009F71C8" w:rsidRDefault="000337A5" w:rsidP="00033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bookmarkEnd w:id="0"/>
      <w:tr w:rsidR="009F71C8" w:rsidRPr="009F71C8" w14:paraId="54150D30" w14:textId="77777777" w:rsidTr="0006038E">
        <w:trPr>
          <w:cantSplit/>
        </w:trPr>
        <w:tc>
          <w:tcPr>
            <w:tcW w:w="9736" w:type="dxa"/>
            <w:gridSpan w:val="4"/>
            <w:shd w:val="clear" w:color="auto" w:fill="auto"/>
            <w:noWrap/>
            <w:hideMark/>
          </w:tcPr>
          <w:p w14:paraId="11827026" w14:textId="7987DBEE" w:rsidR="009F71C8" w:rsidRPr="009F71C8" w:rsidRDefault="009F71C8" w:rsidP="009F71C8">
            <w:pPr>
              <w:spacing w:after="0" w:line="240" w:lineRule="auto"/>
              <w:rPr>
                <w:rFonts w:ascii="Arial" w:eastAsia="Times New Roman" w:hAnsi="Arial" w:cs="Arial"/>
                <w:b/>
                <w:color w:val="00A19A" w:themeColor="accent1"/>
                <w:lang w:eastAsia="en-GB"/>
              </w:rPr>
            </w:pPr>
            <w:r w:rsidRPr="009F71C8">
              <w:rPr>
                <w:rFonts w:ascii="Arial" w:eastAsia="Times New Roman" w:hAnsi="Arial" w:cs="Arial"/>
                <w:b/>
                <w:color w:val="00A19A" w:themeColor="accent1"/>
                <w:lang w:eastAsia="en-GB"/>
              </w:rPr>
              <w:t>Review of Risk Management</w:t>
            </w:r>
          </w:p>
        </w:tc>
      </w:tr>
      <w:tr w:rsidR="0064754C" w:rsidRPr="009045AF" w14:paraId="644D4ED7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46A7CACC" w14:textId="32F8DFEB" w:rsidR="0064754C" w:rsidRPr="009045AF" w:rsidRDefault="009F71C8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5872" w:type="dxa"/>
            <w:shd w:val="clear" w:color="auto" w:fill="auto"/>
            <w:hideMark/>
          </w:tcPr>
          <w:p w14:paraId="459B9FD0" w14:textId="77777777" w:rsidR="0064754C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Categorise risks into operational and strategic.</w:t>
            </w:r>
          </w:p>
          <w:p w14:paraId="318767C8" w14:textId="77777777" w:rsidR="009F71C8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E1BBE37" w14:textId="0E617133" w:rsidR="009F71C8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Implemented via field in risk register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95D101B" w14:textId="7A65FE17" w:rsidR="0064754C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023FCAA2" w14:textId="77777777" w:rsidR="0064754C" w:rsidRPr="009045AF" w:rsidRDefault="0064754C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2A7D4203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04D66B79" w14:textId="463DFEC1" w:rsidR="0064754C" w:rsidRPr="009045AF" w:rsidRDefault="009F71C8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5872" w:type="dxa"/>
            <w:shd w:val="clear" w:color="auto" w:fill="auto"/>
            <w:hideMark/>
          </w:tcPr>
          <w:p w14:paraId="7EB1D172" w14:textId="4A3D85BE" w:rsidR="0064754C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 Risk Management Policy</w:t>
            </w:r>
          </w:p>
          <w:p w14:paraId="1CA9F2AE" w14:textId="77777777" w:rsidR="009F71C8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0E5B183" w14:textId="0BC3B9AB" w:rsidR="009F71C8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Update: </w:t>
            </w:r>
            <w:r w:rsidR="00B569CC">
              <w:rPr>
                <w:rFonts w:ascii="Arial" w:eastAsia="Times New Roman" w:hAnsi="Arial" w:cs="Arial"/>
                <w:color w:val="000000"/>
                <w:lang w:eastAsia="en-GB"/>
              </w:rPr>
              <w:t>Staff consultation closes 6 October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6D7BD09" w14:textId="58FB77B8" w:rsidR="0064754C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4D7C094A" w14:textId="436A385A" w:rsidR="0064754C" w:rsidRPr="009045AF" w:rsidRDefault="00D8428B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06038E">
              <w:rPr>
                <w:rFonts w:ascii="Arial" w:eastAsia="Times New Roman" w:hAnsi="Arial" w:cs="Arial"/>
                <w:color w:val="FFC000"/>
                <w:lang w:eastAsia="en-GB"/>
              </w:rPr>
              <w:sym w:font="Wingdings" w:char="F06C"/>
            </w:r>
          </w:p>
        </w:tc>
      </w:tr>
      <w:tr w:rsidR="0064754C" w:rsidRPr="009045AF" w14:paraId="04FB69EF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225A36AC" w14:textId="5A667C96" w:rsidR="0064754C" w:rsidRPr="009045AF" w:rsidRDefault="0064754C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5872" w:type="dxa"/>
            <w:shd w:val="clear" w:color="auto" w:fill="auto"/>
            <w:hideMark/>
          </w:tcPr>
          <w:p w14:paraId="231D8054" w14:textId="77777777" w:rsidR="0064754C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Develop rolling risk management training programme</w:t>
            </w:r>
          </w:p>
          <w:p w14:paraId="1085688F" w14:textId="77777777" w:rsidR="009F71C8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9F02631" w14:textId="1CF8E2D2" w:rsidR="009F71C8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Implemented with next session to be scheduled for August 2023.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CF63178" w14:textId="1F893EF5" w:rsidR="0064754C" w:rsidRPr="009045AF" w:rsidRDefault="009F71C8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5BD4923F" w14:textId="77777777" w:rsidR="0064754C" w:rsidRPr="009045AF" w:rsidRDefault="0064754C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  <w:tr w:rsidR="0064754C" w:rsidRPr="009045AF" w14:paraId="65B9F3DF" w14:textId="77777777" w:rsidTr="00733ADC">
        <w:trPr>
          <w:cantSplit/>
        </w:trPr>
        <w:tc>
          <w:tcPr>
            <w:tcW w:w="1483" w:type="dxa"/>
            <w:shd w:val="clear" w:color="auto" w:fill="auto"/>
            <w:noWrap/>
            <w:hideMark/>
          </w:tcPr>
          <w:p w14:paraId="3C1BB0A5" w14:textId="7AE9B9DF" w:rsidR="0064754C" w:rsidRPr="009045AF" w:rsidRDefault="009F71C8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5872" w:type="dxa"/>
            <w:shd w:val="clear" w:color="auto" w:fill="auto"/>
            <w:hideMark/>
          </w:tcPr>
          <w:p w14:paraId="3DF54EB4" w14:textId="7AC5F8CF" w:rsidR="0064754C" w:rsidRDefault="00733AD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Reinstitute risk appetite assessments. ESC opted not to  use formal risk appetite process but will assign target risk scores.</w:t>
            </w:r>
          </w:p>
          <w:p w14:paraId="54600A7C" w14:textId="77777777" w:rsidR="00733ADC" w:rsidRDefault="00733AD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5473F9" w14:textId="7B9D817B" w:rsidR="00733ADC" w:rsidRPr="009045AF" w:rsidRDefault="00733AD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Update: Implemented from April 2023 onwards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BF1DC9D" w14:textId="20474EC0" w:rsidR="0064754C" w:rsidRPr="009045AF" w:rsidRDefault="00733ADC" w:rsidP="00060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Low</w:t>
            </w:r>
          </w:p>
        </w:tc>
        <w:tc>
          <w:tcPr>
            <w:tcW w:w="1170" w:type="dxa"/>
            <w:shd w:val="clear" w:color="auto" w:fill="auto"/>
            <w:hideMark/>
          </w:tcPr>
          <w:p w14:paraId="08A965FB" w14:textId="77777777" w:rsidR="0064754C" w:rsidRPr="009045AF" w:rsidRDefault="0064754C" w:rsidP="00060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09045AF">
              <w:rPr>
                <w:rFonts w:ascii="Arial" w:eastAsia="Times New Roman" w:hAnsi="Arial" w:cs="Arial"/>
                <w:color w:val="00B050"/>
                <w:lang w:eastAsia="en-GB"/>
              </w:rPr>
              <w:sym w:font="Wingdings" w:char="F06C"/>
            </w:r>
          </w:p>
        </w:tc>
      </w:tr>
    </w:tbl>
    <w:p w14:paraId="52683A1B" w14:textId="77777777" w:rsidR="00E037C3" w:rsidRDefault="00E037C3" w:rsidP="00E037C3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64E02E6" w14:textId="77777777" w:rsidR="00E037C3" w:rsidRPr="0064754C" w:rsidRDefault="00E037C3" w:rsidP="0064754C">
      <w:bookmarkStart w:id="1" w:name="_GoBack"/>
      <w:bookmarkEnd w:id="1"/>
    </w:p>
    <w:sectPr w:rsidR="00E037C3" w:rsidRPr="0064754C" w:rsidSect="00664CE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FD95" w14:textId="77777777" w:rsidR="0006038E" w:rsidRDefault="0006038E" w:rsidP="00110ADF">
      <w:pPr>
        <w:spacing w:after="0" w:line="240" w:lineRule="auto"/>
      </w:pPr>
      <w:r>
        <w:separator/>
      </w:r>
    </w:p>
  </w:endnote>
  <w:endnote w:type="continuationSeparator" w:id="0">
    <w:p w14:paraId="08E4742E" w14:textId="77777777" w:rsidR="0006038E" w:rsidRDefault="0006038E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4248"/>
    </w:tblGrid>
    <w:tr w:rsidR="0006038E" w:rsidRPr="000214C5" w14:paraId="45CD8754" w14:textId="77777777" w:rsidTr="0006038E">
      <w:trPr>
        <w:trHeight w:hRule="exact" w:val="454"/>
        <w:jc w:val="center"/>
      </w:trPr>
      <w:tc>
        <w:tcPr>
          <w:tcW w:w="9776" w:type="dxa"/>
          <w:gridSpan w:val="2"/>
          <w:shd w:val="clear" w:color="auto" w:fill="auto"/>
          <w:vAlign w:val="center"/>
        </w:tcPr>
        <w:p w14:paraId="3EDD2B29" w14:textId="3179A0ED" w:rsidR="0006038E" w:rsidRPr="000214C5" w:rsidRDefault="0006038E" w:rsidP="00A54E64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3B71C646" wp14:editId="16D02E0B">
                <wp:extent cx="230265" cy="9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="005C3397">
            <w:rPr>
              <w:rFonts w:ascii="Arial" w:hAnsi="Arial" w:cs="Arial"/>
              <w:color w:val="323E48"/>
              <w:sz w:val="20"/>
            </w:rPr>
            <w:t>0131 347 3890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Pr="000214C5"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06038E" w:rsidRPr="001165DC" w14:paraId="4E3E83CB" w14:textId="77777777" w:rsidTr="0006038E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78CD8DA2" w14:textId="1B148520" w:rsidR="0006038E" w:rsidRPr="001165DC" w:rsidRDefault="0006038E" w:rsidP="00A54E64">
          <w:pPr>
            <w:pStyle w:val="Footer"/>
            <w:rPr>
              <w:rFonts w:ascii="Arial" w:hAnsi="Arial" w:cs="Arial"/>
              <w:noProof/>
              <w:color w:val="323E48"/>
              <w:sz w:val="16"/>
            </w:rPr>
          </w:pPr>
        </w:p>
      </w:tc>
      <w:tc>
        <w:tcPr>
          <w:tcW w:w="4248" w:type="dxa"/>
          <w:shd w:val="clear" w:color="auto" w:fill="auto"/>
          <w:vAlign w:val="center"/>
        </w:tcPr>
        <w:p w14:paraId="00BF842E" w14:textId="3762401A" w:rsidR="0006038E" w:rsidRPr="001165DC" w:rsidRDefault="0006038E" w:rsidP="00A54E64">
          <w:pPr>
            <w:pStyle w:val="Footer"/>
            <w:jc w:val="right"/>
            <w:rPr>
              <w:rFonts w:ascii="Arial" w:hAnsi="Arial" w:cs="Arial"/>
              <w:noProof/>
              <w:color w:val="323E48"/>
              <w:sz w:val="16"/>
            </w:rPr>
          </w:pPr>
          <w:r w:rsidRPr="001165DC">
            <w:rPr>
              <w:rFonts w:ascii="Arial" w:hAnsi="Arial" w:cs="Arial"/>
              <w:noProof/>
              <w:color w:val="323E48"/>
              <w:sz w:val="16"/>
            </w:rPr>
            <w:t>Page</w:t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1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of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4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</w:p>
      </w:tc>
    </w:tr>
  </w:tbl>
  <w:p w14:paraId="38D0E24D" w14:textId="271EE66A" w:rsidR="0006038E" w:rsidRPr="00A54E64" w:rsidRDefault="0006038E" w:rsidP="00A54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4248"/>
    </w:tblGrid>
    <w:tr w:rsidR="0006038E" w:rsidRPr="000214C5" w14:paraId="69933683" w14:textId="77777777" w:rsidTr="0006038E">
      <w:trPr>
        <w:trHeight w:hRule="exact" w:val="454"/>
        <w:jc w:val="center"/>
      </w:trPr>
      <w:tc>
        <w:tcPr>
          <w:tcW w:w="9776" w:type="dxa"/>
          <w:gridSpan w:val="2"/>
          <w:shd w:val="clear" w:color="auto" w:fill="auto"/>
          <w:vAlign w:val="center"/>
        </w:tcPr>
        <w:p w14:paraId="31000A2D" w14:textId="5FBE1AC1" w:rsidR="0006038E" w:rsidRPr="000214C5" w:rsidRDefault="0006038E" w:rsidP="00A54E64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1A71452E" wp14:editId="0677AF1C">
                <wp:extent cx="230265" cy="972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="005C3397">
            <w:rPr>
              <w:rFonts w:ascii="Arial" w:hAnsi="Arial" w:cs="Arial"/>
              <w:color w:val="323E48"/>
              <w:sz w:val="20"/>
            </w:rPr>
            <w:t>0131 347 3890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 w:rsidRPr="000214C5"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06038E" w:rsidRPr="001165DC" w14:paraId="7F778499" w14:textId="77777777" w:rsidTr="0006038E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4F9F3B72" w14:textId="66F689CB" w:rsidR="0006038E" w:rsidRPr="001165DC" w:rsidRDefault="0006038E" w:rsidP="00A54E64">
          <w:pPr>
            <w:pStyle w:val="Footer"/>
            <w:rPr>
              <w:rFonts w:ascii="Arial" w:hAnsi="Arial" w:cs="Arial"/>
              <w:noProof/>
              <w:color w:val="323E48"/>
              <w:sz w:val="16"/>
            </w:rPr>
          </w:pPr>
        </w:p>
      </w:tc>
      <w:tc>
        <w:tcPr>
          <w:tcW w:w="4248" w:type="dxa"/>
          <w:shd w:val="clear" w:color="auto" w:fill="auto"/>
          <w:vAlign w:val="center"/>
        </w:tcPr>
        <w:p w14:paraId="2AB867EC" w14:textId="10D56E56" w:rsidR="0006038E" w:rsidRPr="001165DC" w:rsidRDefault="0006038E" w:rsidP="00A54E64">
          <w:pPr>
            <w:pStyle w:val="Footer"/>
            <w:jc w:val="right"/>
            <w:rPr>
              <w:rFonts w:ascii="Arial" w:hAnsi="Arial" w:cs="Arial"/>
              <w:noProof/>
              <w:color w:val="323E48"/>
              <w:sz w:val="16"/>
            </w:rPr>
          </w:pPr>
          <w:r w:rsidRPr="001165DC">
            <w:rPr>
              <w:rFonts w:ascii="Arial" w:hAnsi="Arial" w:cs="Arial"/>
              <w:noProof/>
              <w:color w:val="323E48"/>
              <w:sz w:val="16"/>
            </w:rPr>
            <w:t>Page</w:t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4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of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4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</w:p>
      </w:tc>
    </w:tr>
  </w:tbl>
  <w:p w14:paraId="7F7A5ACB" w14:textId="77777777" w:rsidR="0006038E" w:rsidRPr="00A54E64" w:rsidRDefault="0006038E" w:rsidP="00A54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F6C" w14:textId="77777777" w:rsidR="0006038E" w:rsidRDefault="0006038E" w:rsidP="00110ADF">
      <w:pPr>
        <w:spacing w:after="0" w:line="240" w:lineRule="auto"/>
      </w:pPr>
      <w:r>
        <w:separator/>
      </w:r>
    </w:p>
  </w:footnote>
  <w:footnote w:type="continuationSeparator" w:id="0">
    <w:p w14:paraId="7A9603BF" w14:textId="77777777" w:rsidR="0006038E" w:rsidRDefault="0006038E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D67C" w14:textId="23353726" w:rsidR="0006038E" w:rsidRDefault="0006038E">
    <w:pPr>
      <w:pStyle w:val="Header"/>
    </w:pPr>
    <w:r>
      <w:rPr>
        <w:noProof/>
      </w:rPr>
      <w:drawing>
        <wp:inline distT="0" distB="0" distL="0" distR="0" wp14:anchorId="4B9183DF" wp14:editId="702878A4">
          <wp:extent cx="1766237" cy="3816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37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232"/>
      <w:gridCol w:w="4825"/>
    </w:tblGrid>
    <w:tr w:rsidR="0006038E" w14:paraId="3F993DC2" w14:textId="77777777" w:rsidTr="008C3114">
      <w:trPr>
        <w:jc w:val="center"/>
      </w:trPr>
      <w:tc>
        <w:tcPr>
          <w:tcW w:w="6232" w:type="dxa"/>
        </w:tcPr>
        <w:p w14:paraId="2979F5BD" w14:textId="5AF9E9E0" w:rsidR="0006038E" w:rsidRDefault="0006038E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08E0D38" wp14:editId="01E902A4">
                <wp:extent cx="2716006" cy="586800"/>
                <wp:effectExtent l="0" t="0" r="8255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</w:tcPr>
        <w:p w14:paraId="16285C45" w14:textId="49DECF44" w:rsidR="0006038E" w:rsidRPr="008C3114" w:rsidRDefault="0006038E" w:rsidP="008C311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28"/>
              <w:szCs w:val="32"/>
            </w:rPr>
          </w:pPr>
          <w:r w:rsidRPr="008C3114">
            <w:rPr>
              <w:rFonts w:ascii="Arial" w:hAnsi="Arial" w:cs="Arial"/>
              <w:noProof/>
              <w:sz w:val="28"/>
              <w:szCs w:val="32"/>
            </w:rPr>
            <w:t xml:space="preserve">Summary of progress against </w:t>
          </w:r>
          <w:r>
            <w:rPr>
              <w:rFonts w:ascii="Arial" w:hAnsi="Arial" w:cs="Arial"/>
              <w:noProof/>
              <w:sz w:val="28"/>
              <w:szCs w:val="32"/>
            </w:rPr>
            <w:t>2022/23 Wylie &amp; Bisset</w:t>
          </w:r>
          <w:r w:rsidRPr="008C3114">
            <w:rPr>
              <w:rFonts w:ascii="Arial" w:hAnsi="Arial" w:cs="Arial"/>
              <w:noProof/>
              <w:sz w:val="28"/>
              <w:szCs w:val="32"/>
            </w:rPr>
            <w:t xml:space="preserve"> (</w:t>
          </w:r>
          <w:r>
            <w:rPr>
              <w:rFonts w:ascii="Arial" w:hAnsi="Arial" w:cs="Arial"/>
              <w:noProof/>
              <w:sz w:val="28"/>
              <w:szCs w:val="32"/>
            </w:rPr>
            <w:t>In</w:t>
          </w:r>
          <w:r w:rsidRPr="008C3114">
            <w:rPr>
              <w:rFonts w:ascii="Arial" w:hAnsi="Arial" w:cs="Arial"/>
              <w:noProof/>
              <w:sz w:val="28"/>
              <w:szCs w:val="32"/>
            </w:rPr>
            <w:t>ternal Auditor’s) Recommendations</w:t>
          </w:r>
        </w:p>
        <w:p w14:paraId="42F4ACE2" w14:textId="3BB52E41" w:rsidR="0006038E" w:rsidRPr="00E80CBE" w:rsidRDefault="0006038E" w:rsidP="008C3114">
          <w:pPr>
            <w:pStyle w:val="Header"/>
            <w:spacing w:before="60" w:after="60"/>
            <w:jc w:val="right"/>
            <w:rPr>
              <w:rFonts w:ascii="Arial" w:hAnsi="Arial" w:cs="Arial"/>
              <w:color w:val="323E48"/>
              <w:sz w:val="20"/>
            </w:rPr>
          </w:pPr>
          <w:r w:rsidRPr="008C3114">
            <w:rPr>
              <w:rFonts w:ascii="Arial" w:hAnsi="Arial" w:cs="Arial"/>
              <w:noProof/>
              <w:szCs w:val="32"/>
            </w:rPr>
            <w:t xml:space="preserve">as at </w:t>
          </w:r>
          <w:r w:rsidR="00B569CC">
            <w:rPr>
              <w:rFonts w:ascii="Arial" w:hAnsi="Arial" w:cs="Arial"/>
              <w:noProof/>
              <w:szCs w:val="32"/>
            </w:rPr>
            <w:t>3 October</w:t>
          </w:r>
          <w:r>
            <w:rPr>
              <w:rFonts w:ascii="Arial" w:hAnsi="Arial" w:cs="Arial"/>
              <w:noProof/>
              <w:szCs w:val="32"/>
            </w:rPr>
            <w:t xml:space="preserve"> 2023</w:t>
          </w:r>
        </w:p>
      </w:tc>
    </w:tr>
  </w:tbl>
  <w:p w14:paraId="25552005" w14:textId="7BD687B2" w:rsidR="0006038E" w:rsidRDefault="00060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024C"/>
    <w:rsid w:val="00003659"/>
    <w:rsid w:val="0001381C"/>
    <w:rsid w:val="000214C5"/>
    <w:rsid w:val="000219B0"/>
    <w:rsid w:val="00022D6C"/>
    <w:rsid w:val="000337A5"/>
    <w:rsid w:val="0006038E"/>
    <w:rsid w:val="000918F5"/>
    <w:rsid w:val="000A73C2"/>
    <w:rsid w:val="000B4404"/>
    <w:rsid w:val="00110ADF"/>
    <w:rsid w:val="00113900"/>
    <w:rsid w:val="001165DC"/>
    <w:rsid w:val="00150B94"/>
    <w:rsid w:val="001671D4"/>
    <w:rsid w:val="00180DA6"/>
    <w:rsid w:val="001915BA"/>
    <w:rsid w:val="001A27A3"/>
    <w:rsid w:val="001A4049"/>
    <w:rsid w:val="001C791E"/>
    <w:rsid w:val="00252C92"/>
    <w:rsid w:val="00293ED6"/>
    <w:rsid w:val="002942D7"/>
    <w:rsid w:val="002F5D6E"/>
    <w:rsid w:val="00313E6E"/>
    <w:rsid w:val="004733F2"/>
    <w:rsid w:val="00475448"/>
    <w:rsid w:val="004B43C7"/>
    <w:rsid w:val="004F4063"/>
    <w:rsid w:val="00545BCE"/>
    <w:rsid w:val="00552A78"/>
    <w:rsid w:val="00560AE0"/>
    <w:rsid w:val="00570F0E"/>
    <w:rsid w:val="005B5AEB"/>
    <w:rsid w:val="005C3397"/>
    <w:rsid w:val="00601251"/>
    <w:rsid w:val="006339B5"/>
    <w:rsid w:val="0064754C"/>
    <w:rsid w:val="00664CE0"/>
    <w:rsid w:val="006B6ECE"/>
    <w:rsid w:val="006F78D2"/>
    <w:rsid w:val="00717AF4"/>
    <w:rsid w:val="00721F3A"/>
    <w:rsid w:val="00733ADC"/>
    <w:rsid w:val="00737743"/>
    <w:rsid w:val="00747E26"/>
    <w:rsid w:val="00791150"/>
    <w:rsid w:val="007A3DC9"/>
    <w:rsid w:val="008717D1"/>
    <w:rsid w:val="008B3054"/>
    <w:rsid w:val="008B7324"/>
    <w:rsid w:val="008C23CD"/>
    <w:rsid w:val="008C3114"/>
    <w:rsid w:val="009045AF"/>
    <w:rsid w:val="009053CC"/>
    <w:rsid w:val="009407ED"/>
    <w:rsid w:val="00944BB0"/>
    <w:rsid w:val="0095240D"/>
    <w:rsid w:val="0096300C"/>
    <w:rsid w:val="009F71C8"/>
    <w:rsid w:val="00A31B4C"/>
    <w:rsid w:val="00A363BE"/>
    <w:rsid w:val="00A54E64"/>
    <w:rsid w:val="00A55DC2"/>
    <w:rsid w:val="00A57494"/>
    <w:rsid w:val="00B321FF"/>
    <w:rsid w:val="00B4001C"/>
    <w:rsid w:val="00B4146A"/>
    <w:rsid w:val="00B569CC"/>
    <w:rsid w:val="00BB1054"/>
    <w:rsid w:val="00C123C1"/>
    <w:rsid w:val="00C436DE"/>
    <w:rsid w:val="00C47094"/>
    <w:rsid w:val="00C87566"/>
    <w:rsid w:val="00C929A2"/>
    <w:rsid w:val="00CB21AC"/>
    <w:rsid w:val="00D05E88"/>
    <w:rsid w:val="00D8428B"/>
    <w:rsid w:val="00DE6CDC"/>
    <w:rsid w:val="00E037C3"/>
    <w:rsid w:val="00E36E03"/>
    <w:rsid w:val="00E80CBE"/>
    <w:rsid w:val="00E874E3"/>
    <w:rsid w:val="00F8524B"/>
    <w:rsid w:val="00FE2907"/>
    <w:rsid w:val="00FE45F6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">
      <a:dk1>
        <a:srgbClr val="080808"/>
      </a:dk1>
      <a:lt1>
        <a:srgbClr val="FFFFFF"/>
      </a:lt1>
      <a:dk2>
        <a:srgbClr val="323E48"/>
      </a:dk2>
      <a:lt2>
        <a:srgbClr val="EDEDED"/>
      </a:lt2>
      <a:accent1>
        <a:srgbClr val="00A19A"/>
      </a:accent1>
      <a:accent2>
        <a:srgbClr val="2B6AAF"/>
      </a:accent2>
      <a:accent3>
        <a:srgbClr val="457F7C"/>
      </a:accent3>
      <a:accent4>
        <a:srgbClr val="8ACBBF"/>
      </a:accent4>
      <a:accent5>
        <a:srgbClr val="8884BF"/>
      </a:accent5>
      <a:accent6>
        <a:srgbClr val="558DCA"/>
      </a:accent6>
      <a:hlink>
        <a:srgbClr val="2B6AAF"/>
      </a:hlink>
      <a:folHlink>
        <a:srgbClr val="ED69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Karen Elder</cp:lastModifiedBy>
  <cp:revision>4</cp:revision>
  <cp:lastPrinted>2018-11-23T15:22:00Z</cp:lastPrinted>
  <dcterms:created xsi:type="dcterms:W3CDTF">2023-10-03T09:51:00Z</dcterms:created>
  <dcterms:modified xsi:type="dcterms:W3CDTF">2023-10-16T17:07:00Z</dcterms:modified>
</cp:coreProperties>
</file>