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138F8" w14:textId="2733F0BB" w:rsidR="00174B5A" w:rsidRPr="0033603E" w:rsidRDefault="00174B5A" w:rsidP="00174B5A">
      <w:pPr>
        <w:spacing w:after="0" w:line="240" w:lineRule="auto"/>
        <w:jc w:val="center"/>
        <w:rPr>
          <w:rFonts w:ascii="Arial" w:hAnsi="Arial" w:cs="Arial"/>
          <w:b/>
          <w:sz w:val="24"/>
          <w:szCs w:val="24"/>
          <w:lang w:eastAsia="en-GB"/>
        </w:rPr>
      </w:pPr>
      <w:r w:rsidRPr="0033603E">
        <w:rPr>
          <w:rFonts w:ascii="Arial" w:hAnsi="Arial" w:cs="Arial"/>
          <w:b/>
          <w:sz w:val="24"/>
          <w:szCs w:val="24"/>
          <w:lang w:eastAsia="en-GB"/>
        </w:rPr>
        <w:t>BOARD DIVERSITY</w:t>
      </w:r>
      <w:r w:rsidR="00F51E29">
        <w:rPr>
          <w:rFonts w:ascii="Arial" w:hAnsi="Arial" w:cs="Arial"/>
          <w:b/>
          <w:sz w:val="24"/>
          <w:szCs w:val="24"/>
          <w:lang w:eastAsia="en-GB"/>
        </w:rPr>
        <w:t xml:space="preserve"> OVER TIME (Published </w:t>
      </w:r>
      <w:r w:rsidR="00E5788F">
        <w:rPr>
          <w:rFonts w:ascii="Arial" w:hAnsi="Arial" w:cs="Arial"/>
          <w:b/>
          <w:sz w:val="24"/>
          <w:szCs w:val="24"/>
          <w:lang w:eastAsia="en-GB"/>
        </w:rPr>
        <w:t>July</w:t>
      </w:r>
      <w:bookmarkStart w:id="0" w:name="_GoBack"/>
      <w:bookmarkEnd w:id="0"/>
      <w:r w:rsidR="00F51E29">
        <w:rPr>
          <w:rFonts w:ascii="Arial" w:hAnsi="Arial" w:cs="Arial"/>
          <w:b/>
          <w:sz w:val="24"/>
          <w:szCs w:val="24"/>
          <w:lang w:eastAsia="en-GB"/>
        </w:rPr>
        <w:t xml:space="preserve"> 2020)</w:t>
      </w:r>
    </w:p>
    <w:p w14:paraId="31C37363" w14:textId="77777777" w:rsidR="00174B5A" w:rsidRDefault="00174B5A" w:rsidP="00174B5A">
      <w:pPr>
        <w:spacing w:after="0" w:line="240" w:lineRule="auto"/>
        <w:jc w:val="center"/>
        <w:rPr>
          <w:rFonts w:ascii="Arial" w:hAnsi="Arial" w:cs="Arial"/>
          <w:sz w:val="24"/>
          <w:szCs w:val="24"/>
          <w:highlight w:val="yellow"/>
          <w:lang w:eastAsia="en-GB"/>
        </w:rPr>
      </w:pPr>
    </w:p>
    <w:p w14:paraId="322E6905" w14:textId="77777777" w:rsidR="00174B5A" w:rsidRDefault="00174B5A" w:rsidP="00174B5A">
      <w:pPr>
        <w:spacing w:after="0" w:line="240" w:lineRule="auto"/>
        <w:jc w:val="center"/>
        <w:rPr>
          <w:rFonts w:ascii="Arial" w:hAnsi="Arial" w:cs="Arial"/>
          <w:sz w:val="24"/>
          <w:szCs w:val="24"/>
          <w:highlight w:val="yellow"/>
          <w:lang w:eastAsia="en-GB"/>
        </w:rPr>
      </w:pPr>
      <w:r>
        <w:rPr>
          <w:noProof/>
        </w:rPr>
        <w:drawing>
          <wp:inline distT="0" distB="0" distL="0" distR="0" wp14:anchorId="2D4B0C03" wp14:editId="331897D9">
            <wp:extent cx="6188710" cy="3178628"/>
            <wp:effectExtent l="0" t="0" r="2540" b="3175"/>
            <wp:docPr id="1" name="Chart 1">
              <a:extLst xmlns:a="http://schemas.openxmlformats.org/drawingml/2006/main">
                <a:ext uri="{FF2B5EF4-FFF2-40B4-BE49-F238E27FC236}">
                  <a16:creationId xmlns:a16="http://schemas.microsoft.com/office/drawing/2014/main" id="{14427E4B-ECC4-481A-A121-4644F28934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97FA64E" w14:textId="77777777" w:rsidR="00174B5A" w:rsidRDefault="00174B5A" w:rsidP="00174B5A">
      <w:pPr>
        <w:spacing w:after="0" w:line="240" w:lineRule="auto"/>
        <w:jc w:val="center"/>
        <w:rPr>
          <w:rFonts w:ascii="Arial" w:hAnsi="Arial" w:cs="Arial"/>
          <w:sz w:val="24"/>
          <w:szCs w:val="24"/>
          <w:highlight w:val="yellow"/>
          <w:lang w:eastAsia="en-GB"/>
        </w:rPr>
      </w:pPr>
    </w:p>
    <w:p w14:paraId="711BCEBB" w14:textId="77777777" w:rsidR="00174B5A" w:rsidRDefault="00174B5A" w:rsidP="00174B5A">
      <w:pPr>
        <w:spacing w:after="0" w:line="240" w:lineRule="auto"/>
        <w:jc w:val="center"/>
        <w:rPr>
          <w:rFonts w:ascii="Arial" w:hAnsi="Arial" w:cs="Arial"/>
          <w:sz w:val="24"/>
          <w:szCs w:val="24"/>
          <w:highlight w:val="yellow"/>
          <w:lang w:eastAsia="en-GB"/>
        </w:rPr>
      </w:pPr>
      <w:r>
        <w:rPr>
          <w:noProof/>
        </w:rPr>
        <mc:AlternateContent>
          <mc:Choice Requires="wps">
            <w:drawing>
              <wp:anchor distT="0" distB="0" distL="114300" distR="114300" simplePos="0" relativeHeight="251659264" behindDoc="0" locked="0" layoutInCell="1" allowOverlap="1" wp14:anchorId="5186219E" wp14:editId="21C496AC">
                <wp:simplePos x="0" y="0"/>
                <wp:positionH relativeFrom="column">
                  <wp:posOffset>1376680</wp:posOffset>
                </wp:positionH>
                <wp:positionV relativeFrom="paragraph">
                  <wp:posOffset>571137</wp:posOffset>
                </wp:positionV>
                <wp:extent cx="10886" cy="2019300"/>
                <wp:effectExtent l="19050" t="19050" r="27305" b="19050"/>
                <wp:wrapNone/>
                <wp:docPr id="2" name="Straight Connector 2"/>
                <wp:cNvGraphicFramePr/>
                <a:graphic xmlns:a="http://schemas.openxmlformats.org/drawingml/2006/main">
                  <a:graphicData uri="http://schemas.microsoft.com/office/word/2010/wordprocessingShape">
                    <wps:wsp>
                      <wps:cNvCnPr/>
                      <wps:spPr>
                        <a:xfrm flipH="1">
                          <a:off x="0" y="0"/>
                          <a:ext cx="10886" cy="2019300"/>
                        </a:xfrm>
                        <a:prstGeom prst="line">
                          <a:avLst/>
                        </a:prstGeom>
                        <a:ln w="38100">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04F93D" id="Straight Connector 2"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08.4pt,44.95pt" to="109.25pt,2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" strokecolor="#4472c4 [3204]" strokeweight="3pt">
                <v:stroke dashstyle="dash" joinstyle="miter"/>
              </v:line>
            </w:pict>
          </mc:Fallback>
        </mc:AlternateContent>
      </w:r>
      <w:r>
        <w:rPr>
          <w:noProof/>
        </w:rPr>
        <w:drawing>
          <wp:inline distT="0" distB="0" distL="0" distR="0" wp14:anchorId="0DD50A05" wp14:editId="40EE2ADF">
            <wp:extent cx="6188710" cy="3686810"/>
            <wp:effectExtent l="0" t="0" r="2540" b="8890"/>
            <wp:docPr id="7" name="Chart 7">
              <a:extLst xmlns:a="http://schemas.openxmlformats.org/drawingml/2006/main">
                <a:ext uri="{FF2B5EF4-FFF2-40B4-BE49-F238E27FC236}">
                  <a16:creationId xmlns:a16="http://schemas.microsoft.com/office/drawing/2014/main" id="{F6585040-5834-4EE0-85D0-A98D4C6954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2D6D850" w14:textId="77777777" w:rsidR="00174B5A" w:rsidRDefault="00174B5A" w:rsidP="00174B5A">
      <w:pPr>
        <w:spacing w:after="0" w:line="240" w:lineRule="auto"/>
        <w:jc w:val="center"/>
        <w:rPr>
          <w:rFonts w:ascii="Arial" w:hAnsi="Arial" w:cs="Arial"/>
          <w:sz w:val="24"/>
          <w:szCs w:val="24"/>
          <w:highlight w:val="yellow"/>
          <w:lang w:eastAsia="en-GB"/>
        </w:rPr>
      </w:pPr>
    </w:p>
    <w:p w14:paraId="173562FC" w14:textId="77777777" w:rsidR="00174B5A" w:rsidRPr="001E1F26" w:rsidRDefault="00174B5A" w:rsidP="00174B5A">
      <w:pPr>
        <w:spacing w:after="0" w:line="240" w:lineRule="auto"/>
        <w:rPr>
          <w:rFonts w:ascii="Arial" w:hAnsi="Arial" w:cs="Arial"/>
          <w:szCs w:val="24"/>
          <w:lang w:eastAsia="en-GB"/>
        </w:rPr>
      </w:pPr>
      <w:r w:rsidRPr="001E1F26">
        <w:rPr>
          <w:rFonts w:ascii="Arial" w:hAnsi="Arial" w:cs="Arial"/>
          <w:szCs w:val="24"/>
          <w:lang w:eastAsia="en-GB"/>
        </w:rPr>
        <w:t xml:space="preserve">The Scottish Population figures on this page are drawn from the 2011 Census. The figure used for aged 49 and under reflects the percentage of the Scottish population aged 18 to 49. The figure used for LGB is from an estimate by Stonewall Scotland. </w:t>
      </w:r>
    </w:p>
    <w:p w14:paraId="762322ED" w14:textId="77777777" w:rsidR="00174B5A" w:rsidRDefault="00174B5A" w:rsidP="00174B5A">
      <w:pPr>
        <w:spacing w:after="0" w:line="240" w:lineRule="auto"/>
        <w:jc w:val="center"/>
        <w:rPr>
          <w:rFonts w:ascii="Arial" w:hAnsi="Arial" w:cs="Arial"/>
          <w:sz w:val="24"/>
          <w:szCs w:val="24"/>
          <w:highlight w:val="yellow"/>
          <w:lang w:eastAsia="en-GB"/>
        </w:rPr>
      </w:pPr>
    </w:p>
    <w:p w14:paraId="3CFFE5F1" w14:textId="77777777" w:rsidR="00174B5A" w:rsidRDefault="00174B5A" w:rsidP="00174B5A">
      <w:pPr>
        <w:spacing w:after="0" w:line="240" w:lineRule="auto"/>
        <w:jc w:val="center"/>
        <w:rPr>
          <w:rFonts w:ascii="Arial" w:hAnsi="Arial" w:cs="Arial"/>
          <w:sz w:val="24"/>
          <w:szCs w:val="24"/>
        </w:rPr>
      </w:pPr>
    </w:p>
    <w:p w14:paraId="40253487" w14:textId="77777777" w:rsidR="00174B5A" w:rsidRPr="005D21E4" w:rsidRDefault="00174B5A" w:rsidP="00174B5A">
      <w:pPr>
        <w:spacing w:after="0" w:line="240" w:lineRule="auto"/>
        <w:rPr>
          <w:rFonts w:ascii="Arial" w:hAnsi="Arial" w:cs="Arial"/>
          <w:sz w:val="24"/>
          <w:u w:val="single"/>
        </w:rPr>
      </w:pPr>
      <w:r>
        <w:rPr>
          <w:rFonts w:ascii="Arial" w:hAnsi="Arial" w:cs="Arial"/>
          <w:sz w:val="24"/>
        </w:rPr>
        <w:t xml:space="preserve"> </w:t>
      </w:r>
    </w:p>
    <w:p w14:paraId="6E5D010C" w14:textId="77777777" w:rsidR="00174B5A" w:rsidRDefault="00174B5A" w:rsidP="00174B5A">
      <w:pPr>
        <w:spacing w:after="0" w:line="240" w:lineRule="auto"/>
        <w:rPr>
          <w:rFonts w:ascii="Arial" w:hAnsi="Arial" w:cs="Arial"/>
          <w:sz w:val="24"/>
          <w:szCs w:val="24"/>
        </w:rPr>
      </w:pPr>
    </w:p>
    <w:p w14:paraId="00FE19AE" w14:textId="77777777" w:rsidR="00174B5A" w:rsidRDefault="00174B5A" w:rsidP="00174B5A">
      <w:pPr>
        <w:spacing w:after="0" w:line="240" w:lineRule="auto"/>
        <w:rPr>
          <w:rFonts w:ascii="Arial" w:hAnsi="Arial" w:cs="Arial"/>
          <w:sz w:val="24"/>
          <w:szCs w:val="24"/>
        </w:rPr>
      </w:pPr>
    </w:p>
    <w:p w14:paraId="2F2BE67A" w14:textId="77777777" w:rsidR="00174B5A" w:rsidRPr="00576931" w:rsidRDefault="00174B5A" w:rsidP="00174B5A">
      <w:pPr>
        <w:spacing w:after="0" w:line="240" w:lineRule="auto"/>
        <w:rPr>
          <w:rFonts w:ascii="Arial" w:hAnsi="Arial" w:cs="Arial"/>
          <w:szCs w:val="24"/>
        </w:rPr>
      </w:pPr>
      <w:r w:rsidRPr="00576931">
        <w:rPr>
          <w:rFonts w:ascii="Arial" w:hAnsi="Arial" w:cs="Arial"/>
          <w:szCs w:val="24"/>
        </w:rPr>
        <w:t>Applications and appointments by current or most recent sector worked in (as declared by applicants)</w:t>
      </w:r>
    </w:p>
    <w:p w14:paraId="4235ADFD" w14:textId="77777777" w:rsidR="00174B5A" w:rsidRPr="00CE3AF2" w:rsidRDefault="00174B5A" w:rsidP="00174B5A">
      <w:pPr>
        <w:spacing w:after="0" w:line="240" w:lineRule="auto"/>
        <w:rPr>
          <w:rFonts w:ascii="Arial" w:hAnsi="Arial" w:cs="Arial"/>
          <w:vanish/>
          <w:sz w:val="24"/>
          <w:szCs w:val="24"/>
        </w:rPr>
      </w:pPr>
    </w:p>
    <w:tbl>
      <w:tblPr>
        <w:tblW w:w="5000" w:type="pct"/>
        <w:tblLook w:val="04A0" w:firstRow="1" w:lastRow="0" w:firstColumn="1" w:lastColumn="0" w:noHBand="0" w:noVBand="1"/>
      </w:tblPr>
      <w:tblGrid>
        <w:gridCol w:w="716"/>
        <w:gridCol w:w="424"/>
        <w:gridCol w:w="1063"/>
        <w:gridCol w:w="1177"/>
        <w:gridCol w:w="1065"/>
        <w:gridCol w:w="1177"/>
        <w:gridCol w:w="925"/>
        <w:gridCol w:w="136"/>
        <w:gridCol w:w="1177"/>
        <w:gridCol w:w="1146"/>
      </w:tblGrid>
      <w:tr w:rsidR="00174B5A" w:rsidRPr="00FB2DC4" w14:paraId="6ECD1168" w14:textId="77777777" w:rsidTr="00347821">
        <w:trPr>
          <w:cantSplit/>
          <w:trHeight w:val="549"/>
        </w:trPr>
        <w:tc>
          <w:tcPr>
            <w:tcW w:w="508" w:type="pct"/>
            <w:gridSpan w:val="2"/>
            <w:vMerge w:val="restart"/>
            <w:tcBorders>
              <w:top w:val="single" w:sz="8" w:space="0" w:color="E76618"/>
              <w:left w:val="single" w:sz="8" w:space="0" w:color="E76618"/>
              <w:bottom w:val="single" w:sz="8" w:space="0" w:color="E76618"/>
              <w:right w:val="single" w:sz="8" w:space="0" w:color="E76618"/>
            </w:tcBorders>
            <w:shd w:val="clear" w:color="000000" w:fill="F5C1A2"/>
            <w:vAlign w:val="center"/>
            <w:hideMark/>
          </w:tcPr>
          <w:p w14:paraId="206095D2" w14:textId="77777777" w:rsidR="00174B5A" w:rsidRPr="00FB2DC4" w:rsidRDefault="00174B5A" w:rsidP="00347821">
            <w:pPr>
              <w:spacing w:after="0" w:line="240" w:lineRule="auto"/>
              <w:rPr>
                <w:rFonts w:ascii="Arial" w:eastAsia="Times New Roman" w:hAnsi="Arial" w:cs="Arial"/>
                <w:b/>
                <w:bCs/>
                <w:color w:val="000000"/>
                <w:lang w:eastAsia="en-GB"/>
              </w:rPr>
            </w:pPr>
            <w:r w:rsidRPr="007864CB">
              <w:rPr>
                <w:rFonts w:ascii="Arial" w:eastAsia="Times New Roman" w:hAnsi="Arial" w:cs="Arial"/>
                <w:b/>
                <w:bCs/>
                <w:color w:val="000000"/>
                <w:sz w:val="20"/>
                <w:lang w:eastAsia="en-GB"/>
              </w:rPr>
              <w:t xml:space="preserve">Current or most recent sector of </w:t>
            </w:r>
            <w:proofErr w:type="spellStart"/>
            <w:r w:rsidRPr="007864CB">
              <w:rPr>
                <w:rFonts w:ascii="Arial" w:eastAsia="Times New Roman" w:hAnsi="Arial" w:cs="Arial"/>
                <w:b/>
                <w:bCs/>
                <w:color w:val="000000"/>
                <w:sz w:val="20"/>
                <w:lang w:eastAsia="en-GB"/>
              </w:rPr>
              <w:t>work</w:t>
            </w:r>
            <w:r w:rsidRPr="007864CB">
              <w:rPr>
                <w:rFonts w:ascii="Arial" w:eastAsia="Times New Roman" w:hAnsi="Arial" w:cs="Arial"/>
                <w:b/>
                <w:bCs/>
                <w:color w:val="000000"/>
                <w:sz w:val="20"/>
                <w:vertAlign w:val="superscript"/>
                <w:lang w:eastAsia="en-GB"/>
              </w:rPr>
              <w:t>ϯ</w:t>
            </w:r>
            <w:proofErr w:type="spellEnd"/>
          </w:p>
        </w:tc>
        <w:tc>
          <w:tcPr>
            <w:tcW w:w="1312" w:type="pct"/>
            <w:gridSpan w:val="2"/>
            <w:tcBorders>
              <w:top w:val="single" w:sz="8" w:space="0" w:color="E76618"/>
              <w:left w:val="nil"/>
              <w:bottom w:val="single" w:sz="8" w:space="0" w:color="E76618"/>
              <w:right w:val="single" w:sz="8" w:space="0" w:color="E76618"/>
            </w:tcBorders>
            <w:shd w:val="clear" w:color="000000" w:fill="F5C1A2"/>
            <w:vAlign w:val="center"/>
            <w:hideMark/>
          </w:tcPr>
          <w:p w14:paraId="34605F6C" w14:textId="77777777" w:rsidR="00174B5A" w:rsidRPr="00FB2DC4" w:rsidRDefault="00174B5A" w:rsidP="00347821">
            <w:pPr>
              <w:spacing w:after="0" w:line="240" w:lineRule="auto"/>
              <w:jc w:val="center"/>
              <w:rPr>
                <w:rFonts w:ascii="Arial" w:eastAsia="Times New Roman" w:hAnsi="Arial" w:cs="Arial"/>
                <w:b/>
                <w:bCs/>
                <w:color w:val="000000"/>
                <w:lang w:eastAsia="en-GB"/>
              </w:rPr>
            </w:pPr>
            <w:r w:rsidRPr="00FB2DC4">
              <w:rPr>
                <w:rFonts w:ascii="Arial" w:eastAsia="Times New Roman" w:hAnsi="Arial" w:cs="Arial"/>
                <w:b/>
                <w:bCs/>
                <w:color w:val="000000"/>
                <w:lang w:eastAsia="en-GB"/>
              </w:rPr>
              <w:t>2017</w:t>
            </w:r>
          </w:p>
        </w:tc>
        <w:tc>
          <w:tcPr>
            <w:tcW w:w="1312" w:type="pct"/>
            <w:gridSpan w:val="2"/>
            <w:tcBorders>
              <w:top w:val="single" w:sz="8" w:space="0" w:color="E76618"/>
              <w:left w:val="nil"/>
              <w:bottom w:val="single" w:sz="8" w:space="0" w:color="E76618"/>
              <w:right w:val="single" w:sz="8" w:space="0" w:color="E76618"/>
            </w:tcBorders>
            <w:shd w:val="clear" w:color="000000" w:fill="F5C1A2"/>
            <w:vAlign w:val="center"/>
            <w:hideMark/>
          </w:tcPr>
          <w:p w14:paraId="70398CAC" w14:textId="77777777" w:rsidR="00174B5A" w:rsidRPr="00FB2DC4" w:rsidRDefault="00174B5A" w:rsidP="00347821">
            <w:pPr>
              <w:spacing w:after="0" w:line="240" w:lineRule="auto"/>
              <w:jc w:val="center"/>
              <w:rPr>
                <w:rFonts w:ascii="Arial" w:eastAsia="Times New Roman" w:hAnsi="Arial" w:cs="Arial"/>
                <w:b/>
                <w:bCs/>
                <w:color w:val="000000"/>
                <w:lang w:eastAsia="en-GB"/>
              </w:rPr>
            </w:pPr>
            <w:r w:rsidRPr="00FB2DC4">
              <w:rPr>
                <w:rFonts w:ascii="Arial" w:eastAsia="Times New Roman" w:hAnsi="Arial" w:cs="Arial"/>
                <w:b/>
                <w:bCs/>
                <w:color w:val="000000"/>
                <w:lang w:eastAsia="en-GB"/>
              </w:rPr>
              <w:t>2018</w:t>
            </w:r>
          </w:p>
        </w:tc>
        <w:tc>
          <w:tcPr>
            <w:tcW w:w="1311" w:type="pct"/>
            <w:gridSpan w:val="3"/>
            <w:tcBorders>
              <w:top w:val="single" w:sz="8" w:space="0" w:color="E76618"/>
              <w:left w:val="nil"/>
              <w:bottom w:val="single" w:sz="8" w:space="0" w:color="E76618"/>
              <w:right w:val="single" w:sz="8" w:space="0" w:color="E76618"/>
            </w:tcBorders>
            <w:shd w:val="clear" w:color="000000" w:fill="F5C1A2"/>
            <w:vAlign w:val="center"/>
            <w:hideMark/>
          </w:tcPr>
          <w:p w14:paraId="6AD6858A" w14:textId="77777777" w:rsidR="00174B5A" w:rsidRPr="00FB2DC4" w:rsidRDefault="00174B5A" w:rsidP="00347821">
            <w:pPr>
              <w:spacing w:after="0" w:line="240" w:lineRule="auto"/>
              <w:jc w:val="center"/>
              <w:rPr>
                <w:rFonts w:ascii="Arial" w:eastAsia="Times New Roman" w:hAnsi="Arial" w:cs="Arial"/>
                <w:b/>
                <w:bCs/>
                <w:color w:val="000000"/>
                <w:lang w:eastAsia="en-GB"/>
              </w:rPr>
            </w:pPr>
            <w:r w:rsidRPr="00FB2DC4">
              <w:rPr>
                <w:rFonts w:ascii="Arial" w:eastAsia="Times New Roman" w:hAnsi="Arial" w:cs="Arial"/>
                <w:b/>
                <w:bCs/>
                <w:color w:val="000000"/>
                <w:lang w:eastAsia="en-GB"/>
              </w:rPr>
              <w:t>2019</w:t>
            </w:r>
          </w:p>
        </w:tc>
        <w:tc>
          <w:tcPr>
            <w:tcW w:w="557" w:type="pct"/>
            <w:vMerge w:val="restart"/>
            <w:tcBorders>
              <w:top w:val="single" w:sz="8" w:space="0" w:color="E76618"/>
              <w:left w:val="single" w:sz="8" w:space="0" w:color="E76618"/>
              <w:bottom w:val="single" w:sz="8" w:space="0" w:color="E76618"/>
              <w:right w:val="single" w:sz="8" w:space="0" w:color="E76618"/>
            </w:tcBorders>
            <w:shd w:val="clear" w:color="000000" w:fill="F5C1A2"/>
            <w:vAlign w:val="center"/>
            <w:hideMark/>
          </w:tcPr>
          <w:p w14:paraId="42CDDE11" w14:textId="77777777" w:rsidR="00174B5A" w:rsidRPr="00FB2DC4" w:rsidRDefault="00174B5A" w:rsidP="00347821">
            <w:pPr>
              <w:spacing w:after="0" w:line="240" w:lineRule="auto"/>
              <w:jc w:val="center"/>
              <w:rPr>
                <w:rFonts w:ascii="Arial" w:eastAsia="Times New Roman" w:hAnsi="Arial" w:cs="Arial"/>
                <w:b/>
                <w:bCs/>
                <w:color w:val="000000"/>
                <w:lang w:eastAsia="en-GB"/>
              </w:rPr>
            </w:pPr>
            <w:r w:rsidRPr="007864CB">
              <w:rPr>
                <w:rFonts w:ascii="Arial" w:eastAsia="Times New Roman" w:hAnsi="Arial" w:cs="Arial"/>
                <w:b/>
                <w:bCs/>
                <w:color w:val="000000"/>
                <w:sz w:val="18"/>
                <w:lang w:eastAsia="en-GB"/>
              </w:rPr>
              <w:t>Scottish Population</w:t>
            </w:r>
          </w:p>
        </w:tc>
      </w:tr>
      <w:tr w:rsidR="00174B5A" w:rsidRPr="00FB2DC4" w14:paraId="1E7C6EB5" w14:textId="77777777" w:rsidTr="00347821">
        <w:trPr>
          <w:trHeight w:val="420"/>
        </w:trPr>
        <w:tc>
          <w:tcPr>
            <w:tcW w:w="508" w:type="pct"/>
            <w:gridSpan w:val="2"/>
            <w:vMerge/>
            <w:tcBorders>
              <w:top w:val="single" w:sz="8" w:space="0" w:color="E76618"/>
              <w:left w:val="single" w:sz="8" w:space="0" w:color="E76618"/>
              <w:bottom w:val="single" w:sz="8" w:space="0" w:color="E76618"/>
              <w:right w:val="single" w:sz="8" w:space="0" w:color="E76618"/>
            </w:tcBorders>
            <w:vAlign w:val="center"/>
            <w:hideMark/>
          </w:tcPr>
          <w:p w14:paraId="4C21BDD0" w14:textId="77777777" w:rsidR="00174B5A" w:rsidRPr="00FB2DC4" w:rsidRDefault="00174B5A" w:rsidP="00347821">
            <w:pPr>
              <w:spacing w:after="0" w:line="240" w:lineRule="auto"/>
              <w:rPr>
                <w:rFonts w:ascii="Arial" w:eastAsia="Times New Roman" w:hAnsi="Arial" w:cs="Arial"/>
                <w:b/>
                <w:bCs/>
                <w:color w:val="000000"/>
                <w:lang w:eastAsia="en-GB"/>
              </w:rPr>
            </w:pPr>
          </w:p>
        </w:tc>
        <w:tc>
          <w:tcPr>
            <w:tcW w:w="787" w:type="pct"/>
            <w:tcBorders>
              <w:top w:val="nil"/>
              <w:left w:val="nil"/>
              <w:bottom w:val="single" w:sz="8" w:space="0" w:color="E76618"/>
              <w:right w:val="single" w:sz="8" w:space="0" w:color="E76618"/>
            </w:tcBorders>
            <w:shd w:val="clear" w:color="000000" w:fill="F5C1A2"/>
            <w:vAlign w:val="center"/>
            <w:hideMark/>
          </w:tcPr>
          <w:p w14:paraId="457BB84B" w14:textId="77777777" w:rsidR="00174B5A" w:rsidRPr="00FB2DC4" w:rsidRDefault="00174B5A" w:rsidP="00347821">
            <w:pPr>
              <w:spacing w:after="0" w:line="240" w:lineRule="auto"/>
              <w:jc w:val="center"/>
              <w:rPr>
                <w:rFonts w:ascii="Arial" w:eastAsia="Times New Roman" w:hAnsi="Arial" w:cs="Arial"/>
                <w:color w:val="000000"/>
                <w:sz w:val="16"/>
                <w:szCs w:val="16"/>
                <w:lang w:eastAsia="en-GB"/>
              </w:rPr>
            </w:pPr>
            <w:r w:rsidRPr="00FB2DC4">
              <w:rPr>
                <w:rFonts w:ascii="Arial" w:eastAsia="Times New Roman" w:hAnsi="Arial" w:cs="Arial"/>
                <w:color w:val="000000"/>
                <w:sz w:val="16"/>
                <w:szCs w:val="16"/>
                <w:lang w:eastAsia="en-GB"/>
              </w:rPr>
              <w:t>applications</w:t>
            </w:r>
          </w:p>
        </w:tc>
        <w:tc>
          <w:tcPr>
            <w:tcW w:w="525" w:type="pct"/>
            <w:tcBorders>
              <w:top w:val="nil"/>
              <w:left w:val="nil"/>
              <w:bottom w:val="single" w:sz="8" w:space="0" w:color="E76618"/>
              <w:right w:val="single" w:sz="8" w:space="0" w:color="E76618"/>
            </w:tcBorders>
            <w:shd w:val="clear" w:color="000000" w:fill="F5C1A2"/>
            <w:vAlign w:val="center"/>
            <w:hideMark/>
          </w:tcPr>
          <w:p w14:paraId="3659E605" w14:textId="77777777" w:rsidR="00174B5A" w:rsidRPr="00FB2DC4" w:rsidRDefault="00174B5A" w:rsidP="00347821">
            <w:pPr>
              <w:spacing w:after="0" w:line="240" w:lineRule="auto"/>
              <w:jc w:val="center"/>
              <w:rPr>
                <w:rFonts w:ascii="Arial" w:eastAsia="Times New Roman" w:hAnsi="Arial" w:cs="Arial"/>
                <w:color w:val="000000"/>
                <w:sz w:val="16"/>
                <w:szCs w:val="16"/>
                <w:lang w:eastAsia="en-GB"/>
              </w:rPr>
            </w:pPr>
            <w:r w:rsidRPr="00FB2DC4">
              <w:rPr>
                <w:rFonts w:ascii="Arial" w:eastAsia="Times New Roman" w:hAnsi="Arial" w:cs="Arial"/>
                <w:color w:val="000000"/>
                <w:sz w:val="16"/>
                <w:szCs w:val="16"/>
                <w:lang w:eastAsia="en-GB"/>
              </w:rPr>
              <w:t>appointments</w:t>
            </w:r>
          </w:p>
        </w:tc>
        <w:tc>
          <w:tcPr>
            <w:tcW w:w="787" w:type="pct"/>
            <w:tcBorders>
              <w:top w:val="nil"/>
              <w:left w:val="nil"/>
              <w:bottom w:val="single" w:sz="8" w:space="0" w:color="E76618"/>
              <w:right w:val="single" w:sz="8" w:space="0" w:color="E76618"/>
            </w:tcBorders>
            <w:shd w:val="clear" w:color="000000" w:fill="F5C1A2"/>
            <w:vAlign w:val="center"/>
            <w:hideMark/>
          </w:tcPr>
          <w:p w14:paraId="31DA2050" w14:textId="77777777" w:rsidR="00174B5A" w:rsidRPr="00FB2DC4" w:rsidRDefault="00174B5A" w:rsidP="00347821">
            <w:pPr>
              <w:spacing w:after="0" w:line="240" w:lineRule="auto"/>
              <w:jc w:val="center"/>
              <w:rPr>
                <w:rFonts w:ascii="Arial" w:eastAsia="Times New Roman" w:hAnsi="Arial" w:cs="Arial"/>
                <w:color w:val="000000"/>
                <w:sz w:val="16"/>
                <w:szCs w:val="16"/>
                <w:lang w:eastAsia="en-GB"/>
              </w:rPr>
            </w:pPr>
            <w:r w:rsidRPr="00FB2DC4">
              <w:rPr>
                <w:rFonts w:ascii="Arial" w:eastAsia="Times New Roman" w:hAnsi="Arial" w:cs="Arial"/>
                <w:color w:val="000000"/>
                <w:sz w:val="16"/>
                <w:szCs w:val="16"/>
                <w:lang w:eastAsia="en-GB"/>
              </w:rPr>
              <w:t>applications</w:t>
            </w:r>
          </w:p>
        </w:tc>
        <w:tc>
          <w:tcPr>
            <w:tcW w:w="525" w:type="pct"/>
            <w:tcBorders>
              <w:top w:val="nil"/>
              <w:left w:val="nil"/>
              <w:bottom w:val="single" w:sz="8" w:space="0" w:color="E76618"/>
              <w:right w:val="single" w:sz="8" w:space="0" w:color="E76618"/>
            </w:tcBorders>
            <w:shd w:val="clear" w:color="000000" w:fill="F5C1A2"/>
            <w:vAlign w:val="center"/>
            <w:hideMark/>
          </w:tcPr>
          <w:p w14:paraId="18167661" w14:textId="77777777" w:rsidR="00174B5A" w:rsidRPr="00FB2DC4" w:rsidRDefault="00174B5A" w:rsidP="00347821">
            <w:pPr>
              <w:spacing w:after="0" w:line="240" w:lineRule="auto"/>
              <w:jc w:val="center"/>
              <w:rPr>
                <w:rFonts w:ascii="Arial" w:eastAsia="Times New Roman" w:hAnsi="Arial" w:cs="Arial"/>
                <w:color w:val="000000"/>
                <w:sz w:val="16"/>
                <w:szCs w:val="16"/>
                <w:lang w:eastAsia="en-GB"/>
              </w:rPr>
            </w:pPr>
            <w:r w:rsidRPr="00FB2DC4">
              <w:rPr>
                <w:rFonts w:ascii="Arial" w:eastAsia="Times New Roman" w:hAnsi="Arial" w:cs="Arial"/>
                <w:color w:val="000000"/>
                <w:sz w:val="16"/>
                <w:szCs w:val="16"/>
                <w:lang w:eastAsia="en-GB"/>
              </w:rPr>
              <w:t>appointments</w:t>
            </w:r>
          </w:p>
        </w:tc>
        <w:tc>
          <w:tcPr>
            <w:tcW w:w="787" w:type="pct"/>
            <w:gridSpan w:val="2"/>
            <w:tcBorders>
              <w:top w:val="nil"/>
              <w:left w:val="nil"/>
              <w:bottom w:val="single" w:sz="8" w:space="0" w:color="E76618"/>
              <w:right w:val="single" w:sz="8" w:space="0" w:color="E76618"/>
            </w:tcBorders>
            <w:shd w:val="clear" w:color="000000" w:fill="F5C1A2"/>
            <w:vAlign w:val="center"/>
            <w:hideMark/>
          </w:tcPr>
          <w:p w14:paraId="30C82E7F" w14:textId="77777777" w:rsidR="00174B5A" w:rsidRPr="00FB2DC4" w:rsidRDefault="00174B5A" w:rsidP="00347821">
            <w:pPr>
              <w:spacing w:after="0" w:line="240" w:lineRule="auto"/>
              <w:jc w:val="center"/>
              <w:rPr>
                <w:rFonts w:ascii="Arial" w:eastAsia="Times New Roman" w:hAnsi="Arial" w:cs="Arial"/>
                <w:color w:val="000000"/>
                <w:sz w:val="16"/>
                <w:szCs w:val="16"/>
                <w:lang w:eastAsia="en-GB"/>
              </w:rPr>
            </w:pPr>
            <w:r w:rsidRPr="00FB2DC4">
              <w:rPr>
                <w:rFonts w:ascii="Arial" w:eastAsia="Times New Roman" w:hAnsi="Arial" w:cs="Arial"/>
                <w:color w:val="000000"/>
                <w:sz w:val="16"/>
                <w:szCs w:val="16"/>
                <w:lang w:eastAsia="en-GB"/>
              </w:rPr>
              <w:t>applications</w:t>
            </w:r>
          </w:p>
        </w:tc>
        <w:tc>
          <w:tcPr>
            <w:tcW w:w="525" w:type="pct"/>
            <w:tcBorders>
              <w:top w:val="nil"/>
              <w:left w:val="nil"/>
              <w:bottom w:val="single" w:sz="8" w:space="0" w:color="E76618"/>
              <w:right w:val="single" w:sz="8" w:space="0" w:color="E76618"/>
            </w:tcBorders>
            <w:shd w:val="clear" w:color="000000" w:fill="F5C1A2"/>
            <w:vAlign w:val="center"/>
            <w:hideMark/>
          </w:tcPr>
          <w:p w14:paraId="0AAC8E04" w14:textId="77777777" w:rsidR="00174B5A" w:rsidRPr="00FB2DC4" w:rsidRDefault="00174B5A" w:rsidP="00347821">
            <w:pPr>
              <w:spacing w:after="0" w:line="240" w:lineRule="auto"/>
              <w:jc w:val="center"/>
              <w:rPr>
                <w:rFonts w:ascii="Arial" w:eastAsia="Times New Roman" w:hAnsi="Arial" w:cs="Arial"/>
                <w:color w:val="000000"/>
                <w:sz w:val="16"/>
                <w:szCs w:val="16"/>
                <w:lang w:eastAsia="en-GB"/>
              </w:rPr>
            </w:pPr>
            <w:r w:rsidRPr="00FB2DC4">
              <w:rPr>
                <w:rFonts w:ascii="Arial" w:eastAsia="Times New Roman" w:hAnsi="Arial" w:cs="Arial"/>
                <w:color w:val="000000"/>
                <w:sz w:val="16"/>
                <w:szCs w:val="16"/>
                <w:lang w:eastAsia="en-GB"/>
              </w:rPr>
              <w:t>appointments</w:t>
            </w:r>
          </w:p>
        </w:tc>
        <w:tc>
          <w:tcPr>
            <w:tcW w:w="557" w:type="pct"/>
            <w:vMerge/>
            <w:tcBorders>
              <w:top w:val="single" w:sz="8" w:space="0" w:color="E76618"/>
              <w:left w:val="single" w:sz="8" w:space="0" w:color="E76618"/>
              <w:bottom w:val="single" w:sz="8" w:space="0" w:color="E76618"/>
              <w:right w:val="single" w:sz="8" w:space="0" w:color="E76618"/>
            </w:tcBorders>
            <w:vAlign w:val="center"/>
            <w:hideMark/>
          </w:tcPr>
          <w:p w14:paraId="18D0D4B2" w14:textId="77777777" w:rsidR="00174B5A" w:rsidRPr="00FB2DC4" w:rsidRDefault="00174B5A" w:rsidP="00347821">
            <w:pPr>
              <w:spacing w:after="0" w:line="240" w:lineRule="auto"/>
              <w:rPr>
                <w:rFonts w:ascii="Arial" w:eastAsia="Times New Roman" w:hAnsi="Arial" w:cs="Arial"/>
                <w:b/>
                <w:bCs/>
                <w:color w:val="000000"/>
                <w:lang w:eastAsia="en-GB"/>
              </w:rPr>
            </w:pPr>
          </w:p>
        </w:tc>
      </w:tr>
      <w:tr w:rsidR="00174B5A" w:rsidRPr="00FB2DC4" w14:paraId="18EC394A" w14:textId="77777777" w:rsidTr="00347821">
        <w:trPr>
          <w:trHeight w:val="300"/>
        </w:trPr>
        <w:tc>
          <w:tcPr>
            <w:tcW w:w="508" w:type="pct"/>
            <w:gridSpan w:val="2"/>
            <w:vMerge/>
            <w:tcBorders>
              <w:top w:val="single" w:sz="8" w:space="0" w:color="E76618"/>
              <w:left w:val="single" w:sz="8" w:space="0" w:color="E76618"/>
              <w:bottom w:val="single" w:sz="8" w:space="0" w:color="E76618"/>
              <w:right w:val="single" w:sz="8" w:space="0" w:color="E76618"/>
            </w:tcBorders>
            <w:vAlign w:val="center"/>
            <w:hideMark/>
          </w:tcPr>
          <w:p w14:paraId="26AFD884" w14:textId="77777777" w:rsidR="00174B5A" w:rsidRPr="00FB2DC4" w:rsidRDefault="00174B5A" w:rsidP="00347821">
            <w:pPr>
              <w:spacing w:after="0" w:line="240" w:lineRule="auto"/>
              <w:rPr>
                <w:rFonts w:ascii="Arial" w:eastAsia="Times New Roman" w:hAnsi="Arial" w:cs="Arial"/>
                <w:b/>
                <w:bCs/>
                <w:color w:val="000000"/>
                <w:lang w:eastAsia="en-GB"/>
              </w:rPr>
            </w:pPr>
          </w:p>
        </w:tc>
        <w:tc>
          <w:tcPr>
            <w:tcW w:w="787" w:type="pct"/>
            <w:tcBorders>
              <w:top w:val="nil"/>
              <w:left w:val="nil"/>
              <w:bottom w:val="single" w:sz="8" w:space="0" w:color="E76618"/>
              <w:right w:val="single" w:sz="8" w:space="0" w:color="E76618"/>
            </w:tcBorders>
            <w:shd w:val="clear" w:color="000000" w:fill="F5C1A2"/>
            <w:vAlign w:val="center"/>
            <w:hideMark/>
          </w:tcPr>
          <w:p w14:paraId="431213B9" w14:textId="77777777" w:rsidR="00174B5A" w:rsidRPr="00FB2DC4" w:rsidRDefault="00174B5A" w:rsidP="00347821">
            <w:pPr>
              <w:spacing w:after="0" w:line="240" w:lineRule="auto"/>
              <w:jc w:val="center"/>
              <w:rPr>
                <w:rFonts w:ascii="Arial" w:eastAsia="Times New Roman" w:hAnsi="Arial" w:cs="Arial"/>
                <w:color w:val="000000"/>
                <w:sz w:val="16"/>
                <w:szCs w:val="16"/>
                <w:lang w:eastAsia="en-GB"/>
              </w:rPr>
            </w:pPr>
            <w:r w:rsidRPr="00FB2DC4">
              <w:rPr>
                <w:rFonts w:ascii="Arial" w:eastAsia="Times New Roman" w:hAnsi="Arial" w:cs="Arial"/>
                <w:color w:val="000000"/>
                <w:sz w:val="16"/>
                <w:szCs w:val="16"/>
                <w:lang w:eastAsia="en-GB"/>
              </w:rPr>
              <w:t>%</w:t>
            </w:r>
          </w:p>
        </w:tc>
        <w:tc>
          <w:tcPr>
            <w:tcW w:w="525" w:type="pct"/>
            <w:tcBorders>
              <w:top w:val="nil"/>
              <w:left w:val="nil"/>
              <w:bottom w:val="single" w:sz="8" w:space="0" w:color="E76618"/>
              <w:right w:val="single" w:sz="8" w:space="0" w:color="E76618"/>
            </w:tcBorders>
            <w:shd w:val="clear" w:color="000000" w:fill="F5C1A2"/>
            <w:vAlign w:val="center"/>
            <w:hideMark/>
          </w:tcPr>
          <w:p w14:paraId="278B7CE5" w14:textId="77777777" w:rsidR="00174B5A" w:rsidRPr="00FB2DC4" w:rsidRDefault="00174B5A" w:rsidP="00347821">
            <w:pPr>
              <w:spacing w:after="0" w:line="240" w:lineRule="auto"/>
              <w:jc w:val="center"/>
              <w:rPr>
                <w:rFonts w:ascii="Arial" w:eastAsia="Times New Roman" w:hAnsi="Arial" w:cs="Arial"/>
                <w:color w:val="000000"/>
                <w:sz w:val="16"/>
                <w:szCs w:val="16"/>
                <w:lang w:eastAsia="en-GB"/>
              </w:rPr>
            </w:pPr>
            <w:r w:rsidRPr="00FB2DC4">
              <w:rPr>
                <w:rFonts w:ascii="Arial" w:eastAsia="Times New Roman" w:hAnsi="Arial" w:cs="Arial"/>
                <w:color w:val="000000"/>
                <w:sz w:val="16"/>
                <w:szCs w:val="16"/>
                <w:lang w:eastAsia="en-GB"/>
              </w:rPr>
              <w:t>%</w:t>
            </w:r>
          </w:p>
        </w:tc>
        <w:tc>
          <w:tcPr>
            <w:tcW w:w="787" w:type="pct"/>
            <w:tcBorders>
              <w:top w:val="nil"/>
              <w:left w:val="nil"/>
              <w:bottom w:val="single" w:sz="8" w:space="0" w:color="E76618"/>
              <w:right w:val="single" w:sz="8" w:space="0" w:color="E76618"/>
            </w:tcBorders>
            <w:shd w:val="clear" w:color="000000" w:fill="F5C1A2"/>
            <w:vAlign w:val="center"/>
            <w:hideMark/>
          </w:tcPr>
          <w:p w14:paraId="2D432B1E" w14:textId="77777777" w:rsidR="00174B5A" w:rsidRPr="00FB2DC4" w:rsidRDefault="00174B5A" w:rsidP="00347821">
            <w:pPr>
              <w:spacing w:after="0" w:line="240" w:lineRule="auto"/>
              <w:jc w:val="center"/>
              <w:rPr>
                <w:rFonts w:ascii="Arial" w:eastAsia="Times New Roman" w:hAnsi="Arial" w:cs="Arial"/>
                <w:color w:val="000000"/>
                <w:sz w:val="16"/>
                <w:szCs w:val="16"/>
                <w:lang w:eastAsia="en-GB"/>
              </w:rPr>
            </w:pPr>
            <w:r w:rsidRPr="00FB2DC4">
              <w:rPr>
                <w:rFonts w:ascii="Arial" w:eastAsia="Times New Roman" w:hAnsi="Arial" w:cs="Arial"/>
                <w:color w:val="000000"/>
                <w:sz w:val="16"/>
                <w:szCs w:val="16"/>
                <w:lang w:eastAsia="en-GB"/>
              </w:rPr>
              <w:t>%</w:t>
            </w:r>
          </w:p>
        </w:tc>
        <w:tc>
          <w:tcPr>
            <w:tcW w:w="525" w:type="pct"/>
            <w:tcBorders>
              <w:top w:val="nil"/>
              <w:left w:val="nil"/>
              <w:bottom w:val="single" w:sz="8" w:space="0" w:color="E76618"/>
              <w:right w:val="single" w:sz="8" w:space="0" w:color="E76618"/>
            </w:tcBorders>
            <w:shd w:val="clear" w:color="000000" w:fill="F5C1A2"/>
            <w:vAlign w:val="center"/>
            <w:hideMark/>
          </w:tcPr>
          <w:p w14:paraId="04D9F425" w14:textId="77777777" w:rsidR="00174B5A" w:rsidRPr="00FB2DC4" w:rsidRDefault="00174B5A" w:rsidP="00347821">
            <w:pPr>
              <w:spacing w:after="0" w:line="240" w:lineRule="auto"/>
              <w:jc w:val="center"/>
              <w:rPr>
                <w:rFonts w:ascii="Arial" w:eastAsia="Times New Roman" w:hAnsi="Arial" w:cs="Arial"/>
                <w:color w:val="000000"/>
                <w:sz w:val="16"/>
                <w:szCs w:val="16"/>
                <w:lang w:eastAsia="en-GB"/>
              </w:rPr>
            </w:pPr>
            <w:r w:rsidRPr="00FB2DC4">
              <w:rPr>
                <w:rFonts w:ascii="Arial" w:eastAsia="Times New Roman" w:hAnsi="Arial" w:cs="Arial"/>
                <w:color w:val="000000"/>
                <w:sz w:val="16"/>
                <w:szCs w:val="16"/>
                <w:lang w:eastAsia="en-GB"/>
              </w:rPr>
              <w:t>%</w:t>
            </w:r>
          </w:p>
        </w:tc>
        <w:tc>
          <w:tcPr>
            <w:tcW w:w="787" w:type="pct"/>
            <w:gridSpan w:val="2"/>
            <w:tcBorders>
              <w:top w:val="nil"/>
              <w:left w:val="nil"/>
              <w:bottom w:val="single" w:sz="8" w:space="0" w:color="E76618"/>
              <w:right w:val="single" w:sz="8" w:space="0" w:color="E76618"/>
            </w:tcBorders>
            <w:shd w:val="clear" w:color="000000" w:fill="F5C1A2"/>
            <w:vAlign w:val="center"/>
            <w:hideMark/>
          </w:tcPr>
          <w:p w14:paraId="3877E58A" w14:textId="77777777" w:rsidR="00174B5A" w:rsidRPr="00FB2DC4" w:rsidRDefault="00174B5A" w:rsidP="00347821">
            <w:pPr>
              <w:spacing w:after="0" w:line="240" w:lineRule="auto"/>
              <w:jc w:val="center"/>
              <w:rPr>
                <w:rFonts w:ascii="Arial" w:eastAsia="Times New Roman" w:hAnsi="Arial" w:cs="Arial"/>
                <w:color w:val="000000"/>
                <w:sz w:val="16"/>
                <w:szCs w:val="16"/>
                <w:lang w:eastAsia="en-GB"/>
              </w:rPr>
            </w:pPr>
            <w:r w:rsidRPr="00FB2DC4">
              <w:rPr>
                <w:rFonts w:ascii="Arial" w:eastAsia="Times New Roman" w:hAnsi="Arial" w:cs="Arial"/>
                <w:color w:val="000000"/>
                <w:sz w:val="16"/>
                <w:szCs w:val="16"/>
                <w:lang w:eastAsia="en-GB"/>
              </w:rPr>
              <w:t>%</w:t>
            </w:r>
          </w:p>
        </w:tc>
        <w:tc>
          <w:tcPr>
            <w:tcW w:w="525" w:type="pct"/>
            <w:tcBorders>
              <w:top w:val="nil"/>
              <w:left w:val="nil"/>
              <w:bottom w:val="single" w:sz="8" w:space="0" w:color="E76618"/>
              <w:right w:val="single" w:sz="8" w:space="0" w:color="E76618"/>
            </w:tcBorders>
            <w:shd w:val="clear" w:color="000000" w:fill="F5C1A2"/>
            <w:vAlign w:val="center"/>
            <w:hideMark/>
          </w:tcPr>
          <w:p w14:paraId="6AADBE84" w14:textId="77777777" w:rsidR="00174B5A" w:rsidRPr="00FB2DC4" w:rsidRDefault="00174B5A" w:rsidP="00347821">
            <w:pPr>
              <w:spacing w:after="0" w:line="240" w:lineRule="auto"/>
              <w:jc w:val="center"/>
              <w:rPr>
                <w:rFonts w:ascii="Arial" w:eastAsia="Times New Roman" w:hAnsi="Arial" w:cs="Arial"/>
                <w:color w:val="000000"/>
                <w:sz w:val="16"/>
                <w:szCs w:val="16"/>
                <w:lang w:eastAsia="en-GB"/>
              </w:rPr>
            </w:pPr>
            <w:r w:rsidRPr="00FB2DC4">
              <w:rPr>
                <w:rFonts w:ascii="Arial" w:eastAsia="Times New Roman" w:hAnsi="Arial" w:cs="Arial"/>
                <w:color w:val="000000"/>
                <w:sz w:val="16"/>
                <w:szCs w:val="16"/>
                <w:lang w:eastAsia="en-GB"/>
              </w:rPr>
              <w:t>%</w:t>
            </w:r>
          </w:p>
        </w:tc>
        <w:tc>
          <w:tcPr>
            <w:tcW w:w="557" w:type="pct"/>
            <w:tcBorders>
              <w:top w:val="nil"/>
              <w:left w:val="nil"/>
              <w:bottom w:val="single" w:sz="8" w:space="0" w:color="E76618"/>
              <w:right w:val="single" w:sz="8" w:space="0" w:color="E76618"/>
            </w:tcBorders>
            <w:shd w:val="clear" w:color="000000" w:fill="F5C1A2"/>
            <w:vAlign w:val="center"/>
            <w:hideMark/>
          </w:tcPr>
          <w:p w14:paraId="2672B090" w14:textId="77777777" w:rsidR="00174B5A" w:rsidRPr="00FB2DC4" w:rsidRDefault="00174B5A" w:rsidP="00347821">
            <w:pPr>
              <w:spacing w:after="0" w:line="240" w:lineRule="auto"/>
              <w:jc w:val="center"/>
              <w:rPr>
                <w:rFonts w:ascii="Arial" w:eastAsia="Times New Roman" w:hAnsi="Arial" w:cs="Arial"/>
                <w:color w:val="000000"/>
                <w:sz w:val="16"/>
                <w:szCs w:val="16"/>
                <w:lang w:eastAsia="en-GB"/>
              </w:rPr>
            </w:pPr>
            <w:r w:rsidRPr="00FB2DC4">
              <w:rPr>
                <w:rFonts w:ascii="Arial" w:eastAsia="Times New Roman" w:hAnsi="Arial" w:cs="Arial"/>
                <w:color w:val="000000"/>
                <w:sz w:val="16"/>
                <w:szCs w:val="16"/>
                <w:lang w:eastAsia="en-GB"/>
              </w:rPr>
              <w:t>%</w:t>
            </w:r>
          </w:p>
        </w:tc>
      </w:tr>
      <w:tr w:rsidR="00174B5A" w:rsidRPr="00FB2DC4" w14:paraId="1EEF7BD2" w14:textId="77777777" w:rsidTr="00347821">
        <w:trPr>
          <w:cantSplit/>
          <w:trHeight w:val="300"/>
        </w:trPr>
        <w:tc>
          <w:tcPr>
            <w:tcW w:w="508" w:type="pct"/>
            <w:gridSpan w:val="2"/>
            <w:tcBorders>
              <w:top w:val="nil"/>
              <w:left w:val="single" w:sz="8" w:space="0" w:color="E76618"/>
              <w:bottom w:val="single" w:sz="8" w:space="0" w:color="E76618"/>
              <w:right w:val="single" w:sz="8" w:space="0" w:color="E76618"/>
            </w:tcBorders>
            <w:shd w:val="clear" w:color="auto" w:fill="auto"/>
            <w:vAlign w:val="center"/>
            <w:hideMark/>
          </w:tcPr>
          <w:p w14:paraId="395E8F78" w14:textId="77777777" w:rsidR="00174B5A" w:rsidRPr="007864CB" w:rsidRDefault="00174B5A" w:rsidP="00347821">
            <w:pPr>
              <w:spacing w:after="0" w:line="240" w:lineRule="auto"/>
              <w:rPr>
                <w:rFonts w:ascii="Arial" w:eastAsia="Times New Roman" w:hAnsi="Arial" w:cs="Arial"/>
                <w:b/>
                <w:bCs/>
                <w:color w:val="000000"/>
                <w:sz w:val="20"/>
                <w:lang w:eastAsia="en-GB"/>
              </w:rPr>
            </w:pPr>
            <w:r w:rsidRPr="007864CB">
              <w:rPr>
                <w:rFonts w:ascii="Arial" w:eastAsia="Times New Roman" w:hAnsi="Arial" w:cs="Arial"/>
                <w:b/>
                <w:bCs/>
                <w:color w:val="000000"/>
                <w:sz w:val="20"/>
                <w:lang w:eastAsia="en-GB"/>
              </w:rPr>
              <w:t>Private</w:t>
            </w:r>
          </w:p>
        </w:tc>
        <w:tc>
          <w:tcPr>
            <w:tcW w:w="787" w:type="pct"/>
            <w:tcBorders>
              <w:top w:val="nil"/>
              <w:left w:val="nil"/>
              <w:bottom w:val="single" w:sz="8" w:space="0" w:color="E76618"/>
              <w:right w:val="single" w:sz="8" w:space="0" w:color="E76618"/>
            </w:tcBorders>
            <w:shd w:val="clear" w:color="auto" w:fill="auto"/>
            <w:vAlign w:val="center"/>
            <w:hideMark/>
          </w:tcPr>
          <w:p w14:paraId="7BB2C249" w14:textId="77777777" w:rsidR="00174B5A" w:rsidRPr="00FB2DC4" w:rsidRDefault="00174B5A" w:rsidP="00347821">
            <w:pPr>
              <w:spacing w:after="0" w:line="240" w:lineRule="auto"/>
              <w:jc w:val="center"/>
              <w:rPr>
                <w:rFonts w:ascii="Arial" w:eastAsia="Times New Roman" w:hAnsi="Arial" w:cs="Arial"/>
                <w:color w:val="000000"/>
                <w:lang w:eastAsia="en-GB"/>
              </w:rPr>
            </w:pPr>
            <w:r w:rsidRPr="00FB2DC4">
              <w:rPr>
                <w:rFonts w:ascii="Arial" w:eastAsia="Times New Roman" w:hAnsi="Arial" w:cs="Arial"/>
                <w:color w:val="000000"/>
                <w:lang w:eastAsia="en-GB"/>
              </w:rPr>
              <w:t>35.9</w:t>
            </w:r>
          </w:p>
        </w:tc>
        <w:tc>
          <w:tcPr>
            <w:tcW w:w="525" w:type="pct"/>
            <w:tcBorders>
              <w:top w:val="nil"/>
              <w:left w:val="nil"/>
              <w:bottom w:val="single" w:sz="8" w:space="0" w:color="E76618"/>
              <w:right w:val="single" w:sz="8" w:space="0" w:color="E76618"/>
            </w:tcBorders>
            <w:shd w:val="clear" w:color="auto" w:fill="auto"/>
            <w:vAlign w:val="center"/>
            <w:hideMark/>
          </w:tcPr>
          <w:p w14:paraId="13D4669B" w14:textId="77777777" w:rsidR="00174B5A" w:rsidRPr="00FB2DC4" w:rsidRDefault="00174B5A" w:rsidP="00347821">
            <w:pPr>
              <w:spacing w:after="0" w:line="240" w:lineRule="auto"/>
              <w:jc w:val="center"/>
              <w:rPr>
                <w:rFonts w:ascii="Arial" w:eastAsia="Times New Roman" w:hAnsi="Arial" w:cs="Arial"/>
                <w:color w:val="000000"/>
                <w:lang w:eastAsia="en-GB"/>
              </w:rPr>
            </w:pPr>
            <w:r w:rsidRPr="00FB2DC4">
              <w:rPr>
                <w:rFonts w:ascii="Arial" w:eastAsia="Times New Roman" w:hAnsi="Arial" w:cs="Arial"/>
                <w:color w:val="000000"/>
                <w:lang w:eastAsia="en-GB"/>
              </w:rPr>
              <w:t>30.6</w:t>
            </w:r>
          </w:p>
        </w:tc>
        <w:tc>
          <w:tcPr>
            <w:tcW w:w="787" w:type="pct"/>
            <w:tcBorders>
              <w:top w:val="nil"/>
              <w:left w:val="nil"/>
              <w:bottom w:val="single" w:sz="8" w:space="0" w:color="E76618"/>
              <w:right w:val="single" w:sz="8" w:space="0" w:color="E76618"/>
            </w:tcBorders>
            <w:shd w:val="clear" w:color="auto" w:fill="auto"/>
            <w:vAlign w:val="center"/>
            <w:hideMark/>
          </w:tcPr>
          <w:p w14:paraId="5670F3FE" w14:textId="77777777" w:rsidR="00174B5A" w:rsidRPr="00FB2DC4" w:rsidRDefault="00174B5A" w:rsidP="00347821">
            <w:pPr>
              <w:spacing w:after="0" w:line="240" w:lineRule="auto"/>
              <w:jc w:val="center"/>
              <w:rPr>
                <w:rFonts w:ascii="Arial" w:eastAsia="Times New Roman" w:hAnsi="Arial" w:cs="Arial"/>
                <w:color w:val="000000"/>
                <w:lang w:eastAsia="en-GB"/>
              </w:rPr>
            </w:pPr>
            <w:r w:rsidRPr="00FB2DC4">
              <w:rPr>
                <w:rFonts w:ascii="Arial" w:eastAsia="Times New Roman" w:hAnsi="Arial" w:cs="Arial"/>
                <w:color w:val="000000"/>
                <w:lang w:eastAsia="en-GB"/>
              </w:rPr>
              <w:t>31.2</w:t>
            </w:r>
          </w:p>
        </w:tc>
        <w:tc>
          <w:tcPr>
            <w:tcW w:w="525" w:type="pct"/>
            <w:tcBorders>
              <w:top w:val="nil"/>
              <w:left w:val="nil"/>
              <w:bottom w:val="single" w:sz="8" w:space="0" w:color="E76618"/>
              <w:right w:val="single" w:sz="8" w:space="0" w:color="E76618"/>
            </w:tcBorders>
            <w:shd w:val="clear" w:color="auto" w:fill="auto"/>
            <w:vAlign w:val="center"/>
            <w:hideMark/>
          </w:tcPr>
          <w:p w14:paraId="464D2D24" w14:textId="77777777" w:rsidR="00174B5A" w:rsidRPr="00FB2DC4" w:rsidRDefault="00174B5A" w:rsidP="00347821">
            <w:pPr>
              <w:spacing w:after="0" w:line="240" w:lineRule="auto"/>
              <w:jc w:val="center"/>
              <w:rPr>
                <w:rFonts w:ascii="Arial" w:eastAsia="Times New Roman" w:hAnsi="Arial" w:cs="Arial"/>
                <w:color w:val="000000"/>
                <w:lang w:eastAsia="en-GB"/>
              </w:rPr>
            </w:pPr>
            <w:r w:rsidRPr="00FB2DC4">
              <w:rPr>
                <w:rFonts w:ascii="Arial" w:eastAsia="Times New Roman" w:hAnsi="Arial" w:cs="Arial"/>
                <w:color w:val="000000"/>
                <w:lang w:eastAsia="en-GB"/>
              </w:rPr>
              <w:t>25</w:t>
            </w:r>
          </w:p>
        </w:tc>
        <w:tc>
          <w:tcPr>
            <w:tcW w:w="787" w:type="pct"/>
            <w:gridSpan w:val="2"/>
            <w:tcBorders>
              <w:top w:val="nil"/>
              <w:left w:val="nil"/>
              <w:bottom w:val="single" w:sz="8" w:space="0" w:color="E76618"/>
              <w:right w:val="single" w:sz="8" w:space="0" w:color="E76618"/>
            </w:tcBorders>
            <w:shd w:val="clear" w:color="auto" w:fill="auto"/>
            <w:vAlign w:val="center"/>
            <w:hideMark/>
          </w:tcPr>
          <w:p w14:paraId="19C99E10" w14:textId="77777777" w:rsidR="00174B5A" w:rsidRPr="00FB2DC4" w:rsidRDefault="00174B5A" w:rsidP="00347821">
            <w:pPr>
              <w:spacing w:after="0" w:line="240" w:lineRule="auto"/>
              <w:jc w:val="center"/>
              <w:rPr>
                <w:rFonts w:ascii="Arial" w:eastAsia="Times New Roman" w:hAnsi="Arial" w:cs="Arial"/>
                <w:color w:val="000000"/>
                <w:lang w:eastAsia="en-GB"/>
              </w:rPr>
            </w:pPr>
            <w:r w:rsidRPr="00FB2DC4">
              <w:rPr>
                <w:rFonts w:ascii="Arial" w:eastAsia="Times New Roman" w:hAnsi="Arial" w:cs="Arial"/>
                <w:color w:val="000000"/>
                <w:lang w:eastAsia="en-GB"/>
              </w:rPr>
              <w:t>33.9</w:t>
            </w:r>
          </w:p>
        </w:tc>
        <w:tc>
          <w:tcPr>
            <w:tcW w:w="525" w:type="pct"/>
            <w:tcBorders>
              <w:top w:val="nil"/>
              <w:left w:val="nil"/>
              <w:bottom w:val="single" w:sz="8" w:space="0" w:color="E76618"/>
              <w:right w:val="single" w:sz="8" w:space="0" w:color="E76618"/>
            </w:tcBorders>
            <w:shd w:val="clear" w:color="auto" w:fill="auto"/>
            <w:vAlign w:val="center"/>
            <w:hideMark/>
          </w:tcPr>
          <w:p w14:paraId="66C19970" w14:textId="77777777" w:rsidR="00174B5A" w:rsidRPr="00FB2DC4" w:rsidRDefault="00174B5A" w:rsidP="00347821">
            <w:pPr>
              <w:spacing w:after="0" w:line="240" w:lineRule="auto"/>
              <w:jc w:val="center"/>
              <w:rPr>
                <w:rFonts w:ascii="Arial" w:eastAsia="Times New Roman" w:hAnsi="Arial" w:cs="Arial"/>
                <w:color w:val="000000"/>
                <w:lang w:eastAsia="en-GB"/>
              </w:rPr>
            </w:pPr>
            <w:r w:rsidRPr="00FB2DC4">
              <w:rPr>
                <w:rFonts w:ascii="Arial" w:eastAsia="Times New Roman" w:hAnsi="Arial" w:cs="Arial"/>
                <w:color w:val="000000"/>
                <w:lang w:eastAsia="en-GB"/>
              </w:rPr>
              <w:t>27.4</w:t>
            </w:r>
          </w:p>
        </w:tc>
        <w:tc>
          <w:tcPr>
            <w:tcW w:w="557" w:type="pct"/>
            <w:tcBorders>
              <w:top w:val="nil"/>
              <w:left w:val="nil"/>
              <w:bottom w:val="single" w:sz="8" w:space="0" w:color="E76618"/>
              <w:right w:val="single" w:sz="8" w:space="0" w:color="E76618"/>
            </w:tcBorders>
            <w:shd w:val="clear" w:color="auto" w:fill="auto"/>
            <w:vAlign w:val="center"/>
            <w:hideMark/>
          </w:tcPr>
          <w:p w14:paraId="2C283E6C" w14:textId="77777777" w:rsidR="00174B5A" w:rsidRPr="00FB2DC4" w:rsidRDefault="00174B5A" w:rsidP="00347821">
            <w:pPr>
              <w:spacing w:after="0" w:line="240" w:lineRule="auto"/>
              <w:jc w:val="center"/>
              <w:rPr>
                <w:rFonts w:ascii="Arial" w:eastAsia="Times New Roman" w:hAnsi="Arial" w:cs="Arial"/>
                <w:color w:val="000000"/>
                <w:lang w:eastAsia="en-GB"/>
              </w:rPr>
            </w:pPr>
            <w:r w:rsidRPr="00FB2DC4">
              <w:rPr>
                <w:rFonts w:ascii="Arial" w:eastAsia="Times New Roman" w:hAnsi="Arial" w:cs="Arial"/>
                <w:color w:val="000000"/>
                <w:lang w:eastAsia="en-GB"/>
              </w:rPr>
              <w:t>78.5*</w:t>
            </w:r>
          </w:p>
        </w:tc>
      </w:tr>
      <w:tr w:rsidR="00174B5A" w:rsidRPr="00FB2DC4" w14:paraId="357332C6" w14:textId="77777777" w:rsidTr="00347821">
        <w:trPr>
          <w:cantSplit/>
          <w:trHeight w:val="300"/>
        </w:trPr>
        <w:tc>
          <w:tcPr>
            <w:tcW w:w="508" w:type="pct"/>
            <w:gridSpan w:val="2"/>
            <w:tcBorders>
              <w:top w:val="nil"/>
              <w:left w:val="single" w:sz="8" w:space="0" w:color="E76618"/>
              <w:bottom w:val="single" w:sz="8" w:space="0" w:color="E76618"/>
              <w:right w:val="single" w:sz="8" w:space="0" w:color="E76618"/>
            </w:tcBorders>
            <w:shd w:val="clear" w:color="auto" w:fill="auto"/>
            <w:vAlign w:val="center"/>
            <w:hideMark/>
          </w:tcPr>
          <w:p w14:paraId="646DDECF" w14:textId="77777777" w:rsidR="00174B5A" w:rsidRPr="007864CB" w:rsidRDefault="00174B5A" w:rsidP="00347821">
            <w:pPr>
              <w:spacing w:after="0" w:line="240" w:lineRule="auto"/>
              <w:rPr>
                <w:rFonts w:ascii="Arial" w:eastAsia="Times New Roman" w:hAnsi="Arial" w:cs="Arial"/>
                <w:b/>
                <w:bCs/>
                <w:color w:val="000000"/>
                <w:sz w:val="20"/>
                <w:lang w:eastAsia="en-GB"/>
              </w:rPr>
            </w:pPr>
            <w:r w:rsidRPr="007864CB">
              <w:rPr>
                <w:rFonts w:ascii="Arial" w:eastAsia="Times New Roman" w:hAnsi="Arial" w:cs="Arial"/>
                <w:b/>
                <w:bCs/>
                <w:color w:val="000000"/>
                <w:sz w:val="20"/>
                <w:lang w:eastAsia="en-GB"/>
              </w:rPr>
              <w:t>Public</w:t>
            </w:r>
          </w:p>
        </w:tc>
        <w:tc>
          <w:tcPr>
            <w:tcW w:w="787" w:type="pct"/>
            <w:tcBorders>
              <w:top w:val="nil"/>
              <w:left w:val="nil"/>
              <w:bottom w:val="single" w:sz="8" w:space="0" w:color="E76618"/>
              <w:right w:val="single" w:sz="8" w:space="0" w:color="E76618"/>
            </w:tcBorders>
            <w:shd w:val="clear" w:color="auto" w:fill="auto"/>
            <w:vAlign w:val="center"/>
            <w:hideMark/>
          </w:tcPr>
          <w:p w14:paraId="66099BE4" w14:textId="77777777" w:rsidR="00174B5A" w:rsidRPr="00FB2DC4" w:rsidRDefault="00174B5A" w:rsidP="00347821">
            <w:pPr>
              <w:spacing w:after="0" w:line="240" w:lineRule="auto"/>
              <w:jc w:val="center"/>
              <w:rPr>
                <w:rFonts w:ascii="Arial" w:eastAsia="Times New Roman" w:hAnsi="Arial" w:cs="Arial"/>
                <w:color w:val="000000"/>
                <w:lang w:eastAsia="en-GB"/>
              </w:rPr>
            </w:pPr>
            <w:r w:rsidRPr="00FB2DC4">
              <w:rPr>
                <w:rFonts w:ascii="Arial" w:eastAsia="Times New Roman" w:hAnsi="Arial" w:cs="Arial"/>
                <w:color w:val="000000"/>
                <w:lang w:eastAsia="en-GB"/>
              </w:rPr>
              <w:t>42.6</w:t>
            </w:r>
          </w:p>
        </w:tc>
        <w:tc>
          <w:tcPr>
            <w:tcW w:w="525" w:type="pct"/>
            <w:tcBorders>
              <w:top w:val="nil"/>
              <w:left w:val="nil"/>
              <w:bottom w:val="single" w:sz="8" w:space="0" w:color="E76618"/>
              <w:right w:val="single" w:sz="8" w:space="0" w:color="E76618"/>
            </w:tcBorders>
            <w:shd w:val="clear" w:color="auto" w:fill="auto"/>
            <w:vAlign w:val="center"/>
            <w:hideMark/>
          </w:tcPr>
          <w:p w14:paraId="19AE5ADD" w14:textId="77777777" w:rsidR="00174B5A" w:rsidRPr="00FB2DC4" w:rsidRDefault="00174B5A" w:rsidP="00347821">
            <w:pPr>
              <w:spacing w:after="0" w:line="240" w:lineRule="auto"/>
              <w:jc w:val="center"/>
              <w:rPr>
                <w:rFonts w:ascii="Arial" w:eastAsia="Times New Roman" w:hAnsi="Arial" w:cs="Arial"/>
                <w:color w:val="000000"/>
                <w:lang w:eastAsia="en-GB"/>
              </w:rPr>
            </w:pPr>
            <w:r w:rsidRPr="00FB2DC4">
              <w:rPr>
                <w:rFonts w:ascii="Arial" w:eastAsia="Times New Roman" w:hAnsi="Arial" w:cs="Arial"/>
                <w:color w:val="000000"/>
                <w:lang w:eastAsia="en-GB"/>
              </w:rPr>
              <w:t>49.1</w:t>
            </w:r>
          </w:p>
        </w:tc>
        <w:tc>
          <w:tcPr>
            <w:tcW w:w="787" w:type="pct"/>
            <w:tcBorders>
              <w:top w:val="nil"/>
              <w:left w:val="nil"/>
              <w:bottom w:val="single" w:sz="8" w:space="0" w:color="E76618"/>
              <w:right w:val="single" w:sz="8" w:space="0" w:color="E76618"/>
            </w:tcBorders>
            <w:shd w:val="clear" w:color="auto" w:fill="auto"/>
            <w:vAlign w:val="center"/>
            <w:hideMark/>
          </w:tcPr>
          <w:p w14:paraId="50E08C60" w14:textId="77777777" w:rsidR="00174B5A" w:rsidRPr="00FB2DC4" w:rsidRDefault="00174B5A" w:rsidP="00347821">
            <w:pPr>
              <w:spacing w:after="0" w:line="240" w:lineRule="auto"/>
              <w:jc w:val="center"/>
              <w:rPr>
                <w:rFonts w:ascii="Arial" w:eastAsia="Times New Roman" w:hAnsi="Arial" w:cs="Arial"/>
                <w:color w:val="000000"/>
                <w:lang w:eastAsia="en-GB"/>
              </w:rPr>
            </w:pPr>
            <w:r w:rsidRPr="00FB2DC4">
              <w:rPr>
                <w:rFonts w:ascii="Arial" w:eastAsia="Times New Roman" w:hAnsi="Arial" w:cs="Arial"/>
                <w:color w:val="000000"/>
                <w:lang w:eastAsia="en-GB"/>
              </w:rPr>
              <w:t>36.5</w:t>
            </w:r>
          </w:p>
        </w:tc>
        <w:tc>
          <w:tcPr>
            <w:tcW w:w="525" w:type="pct"/>
            <w:tcBorders>
              <w:top w:val="nil"/>
              <w:left w:val="nil"/>
              <w:bottom w:val="single" w:sz="8" w:space="0" w:color="E76618"/>
              <w:right w:val="single" w:sz="8" w:space="0" w:color="E76618"/>
            </w:tcBorders>
            <w:shd w:val="clear" w:color="auto" w:fill="auto"/>
            <w:vAlign w:val="center"/>
            <w:hideMark/>
          </w:tcPr>
          <w:p w14:paraId="517632A3" w14:textId="77777777" w:rsidR="00174B5A" w:rsidRPr="00FB2DC4" w:rsidRDefault="00174B5A" w:rsidP="00347821">
            <w:pPr>
              <w:spacing w:after="0" w:line="240" w:lineRule="auto"/>
              <w:jc w:val="center"/>
              <w:rPr>
                <w:rFonts w:ascii="Arial" w:eastAsia="Times New Roman" w:hAnsi="Arial" w:cs="Arial"/>
                <w:color w:val="000000"/>
                <w:lang w:eastAsia="en-GB"/>
              </w:rPr>
            </w:pPr>
            <w:r w:rsidRPr="00FB2DC4">
              <w:rPr>
                <w:rFonts w:ascii="Arial" w:eastAsia="Times New Roman" w:hAnsi="Arial" w:cs="Arial"/>
                <w:color w:val="000000"/>
                <w:lang w:eastAsia="en-GB"/>
              </w:rPr>
              <w:t>52.4</w:t>
            </w:r>
          </w:p>
        </w:tc>
        <w:tc>
          <w:tcPr>
            <w:tcW w:w="787" w:type="pct"/>
            <w:gridSpan w:val="2"/>
            <w:tcBorders>
              <w:top w:val="nil"/>
              <w:left w:val="nil"/>
              <w:bottom w:val="single" w:sz="8" w:space="0" w:color="E76618"/>
              <w:right w:val="single" w:sz="8" w:space="0" w:color="E76618"/>
            </w:tcBorders>
            <w:shd w:val="clear" w:color="auto" w:fill="auto"/>
            <w:vAlign w:val="center"/>
            <w:hideMark/>
          </w:tcPr>
          <w:p w14:paraId="3E818968" w14:textId="77777777" w:rsidR="00174B5A" w:rsidRPr="00FB2DC4" w:rsidRDefault="00174B5A" w:rsidP="00347821">
            <w:pPr>
              <w:spacing w:after="0" w:line="240" w:lineRule="auto"/>
              <w:jc w:val="center"/>
              <w:rPr>
                <w:rFonts w:ascii="Arial" w:eastAsia="Times New Roman" w:hAnsi="Arial" w:cs="Arial"/>
                <w:color w:val="000000"/>
                <w:lang w:eastAsia="en-GB"/>
              </w:rPr>
            </w:pPr>
            <w:r w:rsidRPr="00FB2DC4">
              <w:rPr>
                <w:rFonts w:ascii="Arial" w:eastAsia="Times New Roman" w:hAnsi="Arial" w:cs="Arial"/>
                <w:color w:val="000000"/>
                <w:lang w:eastAsia="en-GB"/>
              </w:rPr>
              <w:t>41.4</w:t>
            </w:r>
          </w:p>
        </w:tc>
        <w:tc>
          <w:tcPr>
            <w:tcW w:w="525" w:type="pct"/>
            <w:tcBorders>
              <w:top w:val="nil"/>
              <w:left w:val="nil"/>
              <w:bottom w:val="single" w:sz="8" w:space="0" w:color="E76618"/>
              <w:right w:val="single" w:sz="8" w:space="0" w:color="E76618"/>
            </w:tcBorders>
            <w:shd w:val="clear" w:color="auto" w:fill="auto"/>
            <w:vAlign w:val="center"/>
            <w:hideMark/>
          </w:tcPr>
          <w:p w14:paraId="0A812DBB" w14:textId="77777777" w:rsidR="00174B5A" w:rsidRPr="00FB2DC4" w:rsidRDefault="00174B5A" w:rsidP="00347821">
            <w:pPr>
              <w:spacing w:after="0" w:line="240" w:lineRule="auto"/>
              <w:jc w:val="center"/>
              <w:rPr>
                <w:rFonts w:ascii="Arial" w:eastAsia="Times New Roman" w:hAnsi="Arial" w:cs="Arial"/>
                <w:color w:val="000000"/>
                <w:lang w:eastAsia="en-GB"/>
              </w:rPr>
            </w:pPr>
            <w:r w:rsidRPr="00FB2DC4">
              <w:rPr>
                <w:rFonts w:ascii="Arial" w:eastAsia="Times New Roman" w:hAnsi="Arial" w:cs="Arial"/>
                <w:color w:val="000000"/>
                <w:lang w:eastAsia="en-GB"/>
              </w:rPr>
              <w:t>45.8</w:t>
            </w:r>
          </w:p>
        </w:tc>
        <w:tc>
          <w:tcPr>
            <w:tcW w:w="557" w:type="pct"/>
            <w:tcBorders>
              <w:top w:val="nil"/>
              <w:left w:val="nil"/>
              <w:bottom w:val="single" w:sz="8" w:space="0" w:color="E76618"/>
              <w:right w:val="single" w:sz="8" w:space="0" w:color="E76618"/>
            </w:tcBorders>
            <w:shd w:val="clear" w:color="auto" w:fill="auto"/>
            <w:vAlign w:val="center"/>
            <w:hideMark/>
          </w:tcPr>
          <w:p w14:paraId="18C41556" w14:textId="77777777" w:rsidR="00174B5A" w:rsidRPr="00FB2DC4" w:rsidRDefault="00174B5A" w:rsidP="00347821">
            <w:pPr>
              <w:spacing w:after="0" w:line="240" w:lineRule="auto"/>
              <w:jc w:val="center"/>
              <w:rPr>
                <w:rFonts w:ascii="Arial" w:eastAsia="Times New Roman" w:hAnsi="Arial" w:cs="Arial"/>
                <w:color w:val="000000"/>
                <w:lang w:eastAsia="en-GB"/>
              </w:rPr>
            </w:pPr>
            <w:r w:rsidRPr="00FB2DC4">
              <w:rPr>
                <w:rFonts w:ascii="Arial" w:eastAsia="Times New Roman" w:hAnsi="Arial" w:cs="Arial"/>
                <w:color w:val="000000"/>
                <w:lang w:eastAsia="en-GB"/>
              </w:rPr>
              <w:t>21.5*</w:t>
            </w:r>
          </w:p>
        </w:tc>
      </w:tr>
      <w:tr w:rsidR="00174B5A" w:rsidRPr="00FB2DC4" w14:paraId="18B31225" w14:textId="77777777" w:rsidTr="00347821">
        <w:trPr>
          <w:cantSplit/>
          <w:trHeight w:val="300"/>
        </w:trPr>
        <w:tc>
          <w:tcPr>
            <w:tcW w:w="508" w:type="pct"/>
            <w:gridSpan w:val="2"/>
            <w:tcBorders>
              <w:top w:val="nil"/>
              <w:left w:val="single" w:sz="8" w:space="0" w:color="E76618"/>
              <w:bottom w:val="single" w:sz="8" w:space="0" w:color="E76618"/>
              <w:right w:val="single" w:sz="8" w:space="0" w:color="E76618"/>
            </w:tcBorders>
            <w:shd w:val="clear" w:color="auto" w:fill="auto"/>
            <w:vAlign w:val="center"/>
            <w:hideMark/>
          </w:tcPr>
          <w:p w14:paraId="1F6FA80E" w14:textId="77777777" w:rsidR="00174B5A" w:rsidRPr="007864CB" w:rsidRDefault="00174B5A" w:rsidP="00347821">
            <w:pPr>
              <w:spacing w:after="0" w:line="240" w:lineRule="auto"/>
              <w:rPr>
                <w:rFonts w:ascii="Arial" w:eastAsia="Times New Roman" w:hAnsi="Arial" w:cs="Arial"/>
                <w:b/>
                <w:bCs/>
                <w:color w:val="000000"/>
                <w:sz w:val="20"/>
                <w:lang w:eastAsia="en-GB"/>
              </w:rPr>
            </w:pPr>
            <w:r w:rsidRPr="007864CB">
              <w:rPr>
                <w:rFonts w:ascii="Arial" w:eastAsia="Times New Roman" w:hAnsi="Arial" w:cs="Arial"/>
                <w:b/>
                <w:bCs/>
                <w:color w:val="000000"/>
                <w:sz w:val="20"/>
                <w:lang w:eastAsia="en-GB"/>
              </w:rPr>
              <w:t>Voluntary</w:t>
            </w:r>
          </w:p>
        </w:tc>
        <w:tc>
          <w:tcPr>
            <w:tcW w:w="787" w:type="pct"/>
            <w:tcBorders>
              <w:top w:val="nil"/>
              <w:left w:val="nil"/>
              <w:bottom w:val="single" w:sz="8" w:space="0" w:color="E76618"/>
              <w:right w:val="single" w:sz="8" w:space="0" w:color="E76618"/>
            </w:tcBorders>
            <w:shd w:val="clear" w:color="auto" w:fill="auto"/>
            <w:vAlign w:val="center"/>
            <w:hideMark/>
          </w:tcPr>
          <w:p w14:paraId="198ED790" w14:textId="77777777" w:rsidR="00174B5A" w:rsidRPr="00FB2DC4" w:rsidRDefault="00174B5A" w:rsidP="00347821">
            <w:pPr>
              <w:spacing w:after="0" w:line="240" w:lineRule="auto"/>
              <w:jc w:val="center"/>
              <w:rPr>
                <w:rFonts w:ascii="Arial" w:eastAsia="Times New Roman" w:hAnsi="Arial" w:cs="Arial"/>
                <w:color w:val="000000"/>
                <w:lang w:eastAsia="en-GB"/>
              </w:rPr>
            </w:pPr>
            <w:r w:rsidRPr="00FB2DC4">
              <w:rPr>
                <w:rFonts w:ascii="Arial" w:eastAsia="Times New Roman" w:hAnsi="Arial" w:cs="Arial"/>
                <w:color w:val="000000"/>
                <w:lang w:eastAsia="en-GB"/>
              </w:rPr>
              <w:t>10.8</w:t>
            </w:r>
          </w:p>
        </w:tc>
        <w:tc>
          <w:tcPr>
            <w:tcW w:w="525" w:type="pct"/>
            <w:tcBorders>
              <w:top w:val="nil"/>
              <w:left w:val="nil"/>
              <w:bottom w:val="single" w:sz="8" w:space="0" w:color="E76618"/>
              <w:right w:val="single" w:sz="8" w:space="0" w:color="E76618"/>
            </w:tcBorders>
            <w:shd w:val="clear" w:color="auto" w:fill="auto"/>
            <w:vAlign w:val="center"/>
            <w:hideMark/>
          </w:tcPr>
          <w:p w14:paraId="17F064D0" w14:textId="77777777" w:rsidR="00174B5A" w:rsidRPr="00FB2DC4" w:rsidRDefault="00174B5A" w:rsidP="00347821">
            <w:pPr>
              <w:spacing w:after="0" w:line="240" w:lineRule="auto"/>
              <w:jc w:val="center"/>
              <w:rPr>
                <w:rFonts w:ascii="Arial" w:eastAsia="Times New Roman" w:hAnsi="Arial" w:cs="Arial"/>
                <w:color w:val="000000"/>
                <w:lang w:eastAsia="en-GB"/>
              </w:rPr>
            </w:pPr>
            <w:r w:rsidRPr="00FB2DC4">
              <w:rPr>
                <w:rFonts w:ascii="Arial" w:eastAsia="Times New Roman" w:hAnsi="Arial" w:cs="Arial"/>
                <w:color w:val="000000"/>
                <w:lang w:eastAsia="en-GB"/>
              </w:rPr>
              <w:t>11.1</w:t>
            </w:r>
          </w:p>
        </w:tc>
        <w:tc>
          <w:tcPr>
            <w:tcW w:w="787" w:type="pct"/>
            <w:tcBorders>
              <w:top w:val="nil"/>
              <w:left w:val="nil"/>
              <w:bottom w:val="single" w:sz="8" w:space="0" w:color="E76618"/>
              <w:right w:val="single" w:sz="8" w:space="0" w:color="E76618"/>
            </w:tcBorders>
            <w:shd w:val="clear" w:color="auto" w:fill="auto"/>
            <w:vAlign w:val="center"/>
            <w:hideMark/>
          </w:tcPr>
          <w:p w14:paraId="7C584D8F" w14:textId="77777777" w:rsidR="00174B5A" w:rsidRPr="00FB2DC4" w:rsidRDefault="00174B5A" w:rsidP="00347821">
            <w:pPr>
              <w:spacing w:after="0" w:line="240" w:lineRule="auto"/>
              <w:jc w:val="center"/>
              <w:rPr>
                <w:rFonts w:ascii="Arial" w:eastAsia="Times New Roman" w:hAnsi="Arial" w:cs="Arial"/>
                <w:color w:val="000000"/>
                <w:lang w:eastAsia="en-GB"/>
              </w:rPr>
            </w:pPr>
            <w:r w:rsidRPr="00FB2DC4">
              <w:rPr>
                <w:rFonts w:ascii="Arial" w:eastAsia="Times New Roman" w:hAnsi="Arial" w:cs="Arial"/>
                <w:color w:val="000000"/>
                <w:lang w:eastAsia="en-GB"/>
              </w:rPr>
              <w:t>10.1</w:t>
            </w:r>
          </w:p>
        </w:tc>
        <w:tc>
          <w:tcPr>
            <w:tcW w:w="525" w:type="pct"/>
            <w:tcBorders>
              <w:top w:val="nil"/>
              <w:left w:val="nil"/>
              <w:bottom w:val="single" w:sz="8" w:space="0" w:color="E76618"/>
              <w:right w:val="single" w:sz="8" w:space="0" w:color="E76618"/>
            </w:tcBorders>
            <w:shd w:val="clear" w:color="auto" w:fill="auto"/>
            <w:vAlign w:val="center"/>
            <w:hideMark/>
          </w:tcPr>
          <w:p w14:paraId="62A46A86" w14:textId="77777777" w:rsidR="00174B5A" w:rsidRPr="00FB2DC4" w:rsidRDefault="00174B5A" w:rsidP="00347821">
            <w:pPr>
              <w:spacing w:after="0" w:line="240" w:lineRule="auto"/>
              <w:jc w:val="center"/>
              <w:rPr>
                <w:rFonts w:ascii="Arial" w:eastAsia="Times New Roman" w:hAnsi="Arial" w:cs="Arial"/>
                <w:color w:val="000000"/>
                <w:lang w:eastAsia="en-GB"/>
              </w:rPr>
            </w:pPr>
            <w:r w:rsidRPr="00FB2DC4">
              <w:rPr>
                <w:rFonts w:ascii="Arial" w:eastAsia="Times New Roman" w:hAnsi="Arial" w:cs="Arial"/>
                <w:color w:val="000000"/>
                <w:lang w:eastAsia="en-GB"/>
              </w:rPr>
              <w:t>10.7</w:t>
            </w:r>
          </w:p>
        </w:tc>
        <w:tc>
          <w:tcPr>
            <w:tcW w:w="787" w:type="pct"/>
            <w:gridSpan w:val="2"/>
            <w:tcBorders>
              <w:top w:val="nil"/>
              <w:left w:val="nil"/>
              <w:bottom w:val="single" w:sz="8" w:space="0" w:color="E76618"/>
              <w:right w:val="single" w:sz="8" w:space="0" w:color="E76618"/>
            </w:tcBorders>
            <w:shd w:val="clear" w:color="auto" w:fill="auto"/>
            <w:vAlign w:val="center"/>
            <w:hideMark/>
          </w:tcPr>
          <w:p w14:paraId="58976F05" w14:textId="77777777" w:rsidR="00174B5A" w:rsidRPr="00FB2DC4" w:rsidRDefault="00174B5A" w:rsidP="00347821">
            <w:pPr>
              <w:spacing w:after="0" w:line="240" w:lineRule="auto"/>
              <w:jc w:val="center"/>
              <w:rPr>
                <w:rFonts w:ascii="Arial" w:eastAsia="Times New Roman" w:hAnsi="Arial" w:cs="Arial"/>
                <w:color w:val="000000"/>
                <w:lang w:eastAsia="en-GB"/>
              </w:rPr>
            </w:pPr>
            <w:r w:rsidRPr="00FB2DC4">
              <w:rPr>
                <w:rFonts w:ascii="Arial" w:eastAsia="Times New Roman" w:hAnsi="Arial" w:cs="Arial"/>
                <w:color w:val="000000"/>
                <w:lang w:eastAsia="en-GB"/>
              </w:rPr>
              <w:t>13.2</w:t>
            </w:r>
          </w:p>
        </w:tc>
        <w:tc>
          <w:tcPr>
            <w:tcW w:w="525" w:type="pct"/>
            <w:tcBorders>
              <w:top w:val="nil"/>
              <w:left w:val="nil"/>
              <w:bottom w:val="single" w:sz="8" w:space="0" w:color="E76618"/>
              <w:right w:val="single" w:sz="8" w:space="0" w:color="E76618"/>
            </w:tcBorders>
            <w:shd w:val="clear" w:color="auto" w:fill="auto"/>
            <w:vAlign w:val="center"/>
            <w:hideMark/>
          </w:tcPr>
          <w:p w14:paraId="448AF293" w14:textId="77777777" w:rsidR="00174B5A" w:rsidRPr="00FB2DC4" w:rsidRDefault="00174B5A" w:rsidP="00347821">
            <w:pPr>
              <w:spacing w:after="0" w:line="240" w:lineRule="auto"/>
              <w:jc w:val="center"/>
              <w:rPr>
                <w:rFonts w:ascii="Arial" w:eastAsia="Times New Roman" w:hAnsi="Arial" w:cs="Arial"/>
                <w:color w:val="000000"/>
                <w:lang w:eastAsia="en-GB"/>
              </w:rPr>
            </w:pPr>
            <w:r w:rsidRPr="00FB2DC4">
              <w:rPr>
                <w:rFonts w:ascii="Arial" w:eastAsia="Times New Roman" w:hAnsi="Arial" w:cs="Arial"/>
                <w:color w:val="000000"/>
                <w:lang w:eastAsia="en-GB"/>
              </w:rPr>
              <w:t>14.1</w:t>
            </w:r>
          </w:p>
        </w:tc>
        <w:tc>
          <w:tcPr>
            <w:tcW w:w="557" w:type="pct"/>
            <w:tcBorders>
              <w:top w:val="nil"/>
              <w:left w:val="nil"/>
              <w:bottom w:val="single" w:sz="8" w:space="0" w:color="E76618"/>
              <w:right w:val="single" w:sz="8" w:space="0" w:color="E76618"/>
            </w:tcBorders>
            <w:shd w:val="clear" w:color="auto" w:fill="auto"/>
            <w:vAlign w:val="center"/>
            <w:hideMark/>
          </w:tcPr>
          <w:p w14:paraId="2188D07D" w14:textId="77777777" w:rsidR="00174B5A" w:rsidRPr="00FB2DC4" w:rsidRDefault="00174B5A" w:rsidP="00347821">
            <w:pPr>
              <w:spacing w:after="0" w:line="240" w:lineRule="auto"/>
              <w:jc w:val="center"/>
              <w:rPr>
                <w:rFonts w:ascii="Arial" w:eastAsia="Times New Roman" w:hAnsi="Arial" w:cs="Arial"/>
                <w:color w:val="000000"/>
                <w:lang w:eastAsia="en-GB"/>
              </w:rPr>
            </w:pPr>
            <w:r w:rsidRPr="00FB2DC4">
              <w:rPr>
                <w:rFonts w:ascii="Arial" w:eastAsia="Times New Roman" w:hAnsi="Arial" w:cs="Arial"/>
                <w:color w:val="000000"/>
                <w:lang w:eastAsia="en-GB"/>
              </w:rPr>
              <w:t>4.1**</w:t>
            </w:r>
          </w:p>
        </w:tc>
      </w:tr>
      <w:tr w:rsidR="00174B5A" w:rsidRPr="00CE3AF2" w14:paraId="31831225" w14:textId="77777777" w:rsidTr="00347821">
        <w:tblPrEx>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3"/>
          <w:wAfter w:w="1183" w:type="pct"/>
          <w:jc w:val="center"/>
        </w:trPr>
        <w:tc>
          <w:tcPr>
            <w:tcW w:w="319" w:type="pct"/>
            <w:shd w:val="clear" w:color="auto" w:fill="auto"/>
          </w:tcPr>
          <w:p w14:paraId="28CBDAE7" w14:textId="77777777" w:rsidR="00174B5A" w:rsidRPr="00CE3AF2" w:rsidRDefault="00174B5A" w:rsidP="00347821">
            <w:pPr>
              <w:spacing w:after="0" w:line="240" w:lineRule="auto"/>
              <w:jc w:val="center"/>
              <w:rPr>
                <w:rFonts w:ascii="Arial" w:hAnsi="Arial" w:cs="Arial"/>
                <w:bCs/>
                <w:sz w:val="16"/>
                <w:szCs w:val="16"/>
              </w:rPr>
            </w:pPr>
          </w:p>
        </w:tc>
        <w:tc>
          <w:tcPr>
            <w:tcW w:w="3499" w:type="pct"/>
            <w:gridSpan w:val="6"/>
            <w:shd w:val="clear" w:color="auto" w:fill="auto"/>
          </w:tcPr>
          <w:p w14:paraId="2F999202" w14:textId="77777777" w:rsidR="00174B5A" w:rsidRPr="00CE3AF2" w:rsidRDefault="00174B5A" w:rsidP="00347821">
            <w:pPr>
              <w:spacing w:after="0" w:line="240" w:lineRule="auto"/>
              <w:rPr>
                <w:rFonts w:ascii="Arial" w:hAnsi="Arial" w:cs="Arial"/>
                <w:bCs/>
                <w:sz w:val="16"/>
                <w:szCs w:val="16"/>
              </w:rPr>
            </w:pPr>
          </w:p>
        </w:tc>
      </w:tr>
    </w:tbl>
    <w:p w14:paraId="0C5BF0DB" w14:textId="77777777" w:rsidR="00174B5A" w:rsidRPr="00FB2DC4" w:rsidRDefault="00174B5A" w:rsidP="00174B5A">
      <w:pPr>
        <w:spacing w:after="0" w:line="240" w:lineRule="auto"/>
        <w:rPr>
          <w:rFonts w:ascii="Arial" w:hAnsi="Arial" w:cs="Arial"/>
          <w:szCs w:val="24"/>
        </w:rPr>
      </w:pPr>
      <w:proofErr w:type="spellStart"/>
      <w:r w:rsidRPr="00FB2DC4">
        <w:rPr>
          <w:rFonts w:ascii="Arial" w:hAnsi="Arial" w:cs="Arial"/>
          <w:b/>
          <w:vertAlign w:val="superscript"/>
        </w:rPr>
        <w:t>ϯ</w:t>
      </w:r>
      <w:r w:rsidRPr="00FB2DC4">
        <w:rPr>
          <w:rFonts w:ascii="Arial" w:hAnsi="Arial" w:cs="Arial"/>
        </w:rPr>
        <w:t>A</w:t>
      </w:r>
      <w:proofErr w:type="spellEnd"/>
      <w:r w:rsidRPr="00FB2DC4">
        <w:rPr>
          <w:rFonts w:ascii="Arial" w:hAnsi="Arial" w:cs="Arial"/>
        </w:rPr>
        <w:t xml:space="preserve"> </w:t>
      </w:r>
      <w:r>
        <w:rPr>
          <w:rFonts w:ascii="Arial" w:hAnsi="Arial" w:cs="Arial"/>
        </w:rPr>
        <w:t xml:space="preserve">small </w:t>
      </w:r>
      <w:r w:rsidRPr="00FB2DC4">
        <w:rPr>
          <w:rFonts w:ascii="Arial" w:hAnsi="Arial" w:cs="Arial"/>
        </w:rPr>
        <w:t xml:space="preserve">proportion </w:t>
      </w:r>
      <w:r>
        <w:rPr>
          <w:rFonts w:ascii="Arial" w:hAnsi="Arial" w:cs="Arial"/>
        </w:rPr>
        <w:t>of applicants declared their sector as “other” and have not been included in these figures.</w:t>
      </w:r>
    </w:p>
    <w:p w14:paraId="3E33CC1D" w14:textId="77777777" w:rsidR="00174B5A" w:rsidRDefault="00174B5A" w:rsidP="00174B5A">
      <w:pPr>
        <w:spacing w:after="0" w:line="240" w:lineRule="auto"/>
        <w:rPr>
          <w:rFonts w:ascii="Arial" w:hAnsi="Arial" w:cs="Arial"/>
          <w:szCs w:val="24"/>
        </w:rPr>
      </w:pPr>
      <w:r w:rsidRPr="00C60AE0">
        <w:rPr>
          <w:rFonts w:ascii="Arial" w:hAnsi="Arial" w:cs="Arial"/>
          <w:szCs w:val="24"/>
        </w:rPr>
        <w:t xml:space="preserve">*Figures obtained from the Scottish Government publication “Public sector employment in Scotland: statistics for </w:t>
      </w:r>
      <w:r>
        <w:rPr>
          <w:rFonts w:ascii="Arial" w:hAnsi="Arial" w:cs="Arial"/>
          <w:szCs w:val="24"/>
        </w:rPr>
        <w:t>third</w:t>
      </w:r>
      <w:r w:rsidRPr="00C60AE0">
        <w:rPr>
          <w:rFonts w:ascii="Arial" w:hAnsi="Arial" w:cs="Arial"/>
          <w:szCs w:val="24"/>
        </w:rPr>
        <w:t xml:space="preserve"> quarter 201</w:t>
      </w:r>
      <w:r>
        <w:rPr>
          <w:rFonts w:ascii="Arial" w:hAnsi="Arial" w:cs="Arial"/>
          <w:szCs w:val="24"/>
        </w:rPr>
        <w:t>9</w:t>
      </w:r>
      <w:r w:rsidRPr="00C60AE0">
        <w:rPr>
          <w:rFonts w:ascii="Arial" w:hAnsi="Arial" w:cs="Arial"/>
          <w:szCs w:val="24"/>
        </w:rPr>
        <w:t>”.</w:t>
      </w:r>
    </w:p>
    <w:p w14:paraId="642A441B" w14:textId="77777777" w:rsidR="00174B5A" w:rsidRDefault="00174B5A" w:rsidP="00174B5A">
      <w:pPr>
        <w:spacing w:after="0" w:line="240" w:lineRule="auto"/>
        <w:rPr>
          <w:rFonts w:ascii="Arial" w:hAnsi="Arial" w:cs="Arial"/>
          <w:szCs w:val="24"/>
        </w:rPr>
      </w:pPr>
      <w:r>
        <w:rPr>
          <w:rFonts w:ascii="Arial" w:hAnsi="Arial" w:cs="Arial"/>
          <w:szCs w:val="24"/>
        </w:rPr>
        <w:t>**Figure used is the number of paid staff in the third sector obtained from the SCVO publication “State of the Sector 2020: Scottish Voluntary Sector Statistics” (c 108,000 headcount) as a percentage of the overall population figure used at *.</w:t>
      </w:r>
    </w:p>
    <w:p w14:paraId="4483BC44" w14:textId="77777777" w:rsidR="00174B5A" w:rsidRDefault="00174B5A" w:rsidP="00174B5A">
      <w:pPr>
        <w:spacing w:after="0" w:line="240" w:lineRule="auto"/>
        <w:rPr>
          <w:rFonts w:ascii="Arial" w:hAnsi="Arial" w:cs="Arial"/>
          <w:szCs w:val="24"/>
        </w:rPr>
      </w:pPr>
    </w:p>
    <w:p w14:paraId="0CDA4B3B" w14:textId="77777777" w:rsidR="00174B5A" w:rsidRDefault="00174B5A" w:rsidP="00174B5A">
      <w:pPr>
        <w:spacing w:after="0" w:line="240" w:lineRule="auto"/>
        <w:rPr>
          <w:rFonts w:ascii="Arial" w:hAnsi="Arial" w:cs="Arial"/>
          <w:sz w:val="24"/>
          <w:szCs w:val="24"/>
        </w:rPr>
      </w:pPr>
      <w:r>
        <w:rPr>
          <w:rFonts w:ascii="Arial" w:hAnsi="Arial" w:cs="Arial"/>
          <w:sz w:val="24"/>
          <w:szCs w:val="24"/>
        </w:rPr>
        <w:t>Applications and appointments by household income</w:t>
      </w:r>
    </w:p>
    <w:p w14:paraId="2D84D7B3" w14:textId="77777777" w:rsidR="00174B5A" w:rsidRPr="00CE3AF2" w:rsidRDefault="00174B5A" w:rsidP="00174B5A">
      <w:pPr>
        <w:spacing w:after="0" w:line="240" w:lineRule="auto"/>
        <w:rPr>
          <w:rFonts w:ascii="Arial" w:hAnsi="Arial" w:cs="Arial"/>
          <w:vanish/>
          <w:sz w:val="24"/>
          <w:szCs w:val="24"/>
        </w:rPr>
      </w:pPr>
      <w:bookmarkStart w:id="1" w:name="_Hlk39495291"/>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8794"/>
        <w:gridCol w:w="222"/>
      </w:tblGrid>
      <w:tr w:rsidR="00174B5A" w:rsidRPr="00CE3AF2" w14:paraId="22A4850F" w14:textId="77777777" w:rsidTr="00347821">
        <w:trPr>
          <w:jc w:val="center"/>
        </w:trPr>
        <w:tc>
          <w:tcPr>
            <w:tcW w:w="4887" w:type="pct"/>
            <w:shd w:val="clear" w:color="auto" w:fill="auto"/>
          </w:tcPr>
          <w:tbl>
            <w:tblPr>
              <w:tblW w:w="5000" w:type="pct"/>
              <w:tblLook w:val="04A0" w:firstRow="1" w:lastRow="0" w:firstColumn="1" w:lastColumn="0" w:noHBand="0" w:noVBand="1"/>
            </w:tblPr>
            <w:tblGrid>
              <w:gridCol w:w="2231"/>
              <w:gridCol w:w="926"/>
              <w:gridCol w:w="1183"/>
              <w:gridCol w:w="926"/>
              <w:gridCol w:w="1183"/>
              <w:gridCol w:w="926"/>
              <w:gridCol w:w="1183"/>
            </w:tblGrid>
            <w:tr w:rsidR="00174B5A" w:rsidRPr="008F10FA" w14:paraId="7470147E" w14:textId="77777777" w:rsidTr="00347821">
              <w:trPr>
                <w:cantSplit/>
                <w:trHeight w:val="20"/>
              </w:trPr>
              <w:tc>
                <w:tcPr>
                  <w:tcW w:w="1634" w:type="pct"/>
                  <w:vMerge w:val="restart"/>
                  <w:tcBorders>
                    <w:top w:val="single" w:sz="8" w:space="0" w:color="E76618"/>
                    <w:left w:val="single" w:sz="8" w:space="0" w:color="E76618"/>
                    <w:bottom w:val="single" w:sz="8" w:space="0" w:color="E76618"/>
                    <w:right w:val="single" w:sz="8" w:space="0" w:color="E76618"/>
                  </w:tcBorders>
                  <w:shd w:val="clear" w:color="000000" w:fill="F5C1A2"/>
                  <w:vAlign w:val="center"/>
                  <w:hideMark/>
                </w:tcPr>
                <w:p w14:paraId="5C53A985" w14:textId="77777777" w:rsidR="00174B5A" w:rsidRPr="008F10FA" w:rsidRDefault="00174B5A" w:rsidP="00347821">
                  <w:pPr>
                    <w:spacing w:after="0" w:line="240" w:lineRule="auto"/>
                    <w:rPr>
                      <w:rFonts w:ascii="Arial" w:eastAsia="Times New Roman" w:hAnsi="Arial" w:cs="Arial"/>
                      <w:b/>
                      <w:bCs/>
                      <w:color w:val="000000"/>
                      <w:lang w:eastAsia="en-GB"/>
                    </w:rPr>
                  </w:pPr>
                  <w:r w:rsidRPr="008F10FA">
                    <w:rPr>
                      <w:rFonts w:ascii="Arial" w:eastAsia="Times New Roman" w:hAnsi="Arial" w:cs="Arial"/>
                      <w:b/>
                      <w:bCs/>
                      <w:color w:val="000000"/>
                      <w:lang w:eastAsia="en-GB"/>
                    </w:rPr>
                    <w:t>Household income</w:t>
                  </w:r>
                </w:p>
              </w:tc>
              <w:tc>
                <w:tcPr>
                  <w:tcW w:w="1122" w:type="pct"/>
                  <w:gridSpan w:val="2"/>
                  <w:tcBorders>
                    <w:top w:val="single" w:sz="8" w:space="0" w:color="E76618"/>
                    <w:left w:val="nil"/>
                    <w:bottom w:val="single" w:sz="8" w:space="0" w:color="E76618"/>
                    <w:right w:val="single" w:sz="8" w:space="0" w:color="E76618"/>
                  </w:tcBorders>
                  <w:shd w:val="clear" w:color="000000" w:fill="F5C1A2"/>
                  <w:vAlign w:val="center"/>
                  <w:hideMark/>
                </w:tcPr>
                <w:p w14:paraId="109B35B3" w14:textId="77777777" w:rsidR="00174B5A" w:rsidRPr="008F10FA" w:rsidRDefault="00174B5A" w:rsidP="00347821">
                  <w:pPr>
                    <w:spacing w:after="0" w:line="240" w:lineRule="auto"/>
                    <w:jc w:val="center"/>
                    <w:rPr>
                      <w:rFonts w:ascii="Arial" w:eastAsia="Times New Roman" w:hAnsi="Arial" w:cs="Arial"/>
                      <w:b/>
                      <w:bCs/>
                      <w:color w:val="000000"/>
                      <w:lang w:eastAsia="en-GB"/>
                    </w:rPr>
                  </w:pPr>
                  <w:r w:rsidRPr="008F10FA">
                    <w:rPr>
                      <w:rFonts w:ascii="Arial" w:eastAsia="Times New Roman" w:hAnsi="Arial" w:cs="Arial"/>
                      <w:b/>
                      <w:bCs/>
                      <w:color w:val="000000"/>
                      <w:lang w:eastAsia="en-GB"/>
                    </w:rPr>
                    <w:t>2017</w:t>
                  </w:r>
                </w:p>
              </w:tc>
              <w:tc>
                <w:tcPr>
                  <w:tcW w:w="1122" w:type="pct"/>
                  <w:gridSpan w:val="2"/>
                  <w:tcBorders>
                    <w:top w:val="single" w:sz="8" w:space="0" w:color="E76618"/>
                    <w:left w:val="nil"/>
                    <w:bottom w:val="single" w:sz="8" w:space="0" w:color="E76618"/>
                    <w:right w:val="single" w:sz="8" w:space="0" w:color="E76618"/>
                  </w:tcBorders>
                  <w:shd w:val="clear" w:color="000000" w:fill="F5C1A2"/>
                  <w:vAlign w:val="center"/>
                  <w:hideMark/>
                </w:tcPr>
                <w:p w14:paraId="2D67DA76" w14:textId="77777777" w:rsidR="00174B5A" w:rsidRPr="008F10FA" w:rsidRDefault="00174B5A" w:rsidP="00347821">
                  <w:pPr>
                    <w:spacing w:after="0" w:line="240" w:lineRule="auto"/>
                    <w:jc w:val="center"/>
                    <w:rPr>
                      <w:rFonts w:ascii="Arial" w:eastAsia="Times New Roman" w:hAnsi="Arial" w:cs="Arial"/>
                      <w:b/>
                      <w:bCs/>
                      <w:color w:val="000000"/>
                      <w:lang w:eastAsia="en-GB"/>
                    </w:rPr>
                  </w:pPr>
                  <w:r w:rsidRPr="008F10FA">
                    <w:rPr>
                      <w:rFonts w:ascii="Arial" w:eastAsia="Times New Roman" w:hAnsi="Arial" w:cs="Arial"/>
                      <w:b/>
                      <w:bCs/>
                      <w:color w:val="000000"/>
                      <w:lang w:eastAsia="en-GB"/>
                    </w:rPr>
                    <w:t>2018</w:t>
                  </w:r>
                </w:p>
              </w:tc>
              <w:tc>
                <w:tcPr>
                  <w:tcW w:w="1122" w:type="pct"/>
                  <w:gridSpan w:val="2"/>
                  <w:tcBorders>
                    <w:top w:val="single" w:sz="8" w:space="0" w:color="E76618"/>
                    <w:left w:val="nil"/>
                    <w:bottom w:val="single" w:sz="8" w:space="0" w:color="E76618"/>
                    <w:right w:val="single" w:sz="8" w:space="0" w:color="E76618"/>
                  </w:tcBorders>
                  <w:shd w:val="clear" w:color="000000" w:fill="F5C1A2"/>
                  <w:vAlign w:val="center"/>
                  <w:hideMark/>
                </w:tcPr>
                <w:p w14:paraId="0434B0D2" w14:textId="77777777" w:rsidR="00174B5A" w:rsidRPr="008F10FA" w:rsidRDefault="00174B5A" w:rsidP="00347821">
                  <w:pPr>
                    <w:spacing w:after="0" w:line="240" w:lineRule="auto"/>
                    <w:jc w:val="center"/>
                    <w:rPr>
                      <w:rFonts w:ascii="Arial" w:eastAsia="Times New Roman" w:hAnsi="Arial" w:cs="Arial"/>
                      <w:b/>
                      <w:bCs/>
                      <w:color w:val="000000"/>
                      <w:lang w:eastAsia="en-GB"/>
                    </w:rPr>
                  </w:pPr>
                  <w:r w:rsidRPr="008F10FA">
                    <w:rPr>
                      <w:rFonts w:ascii="Arial" w:eastAsia="Times New Roman" w:hAnsi="Arial" w:cs="Arial"/>
                      <w:b/>
                      <w:bCs/>
                      <w:color w:val="000000"/>
                      <w:lang w:eastAsia="en-GB"/>
                    </w:rPr>
                    <w:t>2019</w:t>
                  </w:r>
                </w:p>
              </w:tc>
            </w:tr>
            <w:tr w:rsidR="00174B5A" w:rsidRPr="008F10FA" w14:paraId="3F8C1C3D" w14:textId="77777777" w:rsidTr="00347821">
              <w:trPr>
                <w:trHeight w:val="20"/>
              </w:trPr>
              <w:tc>
                <w:tcPr>
                  <w:tcW w:w="1634" w:type="pct"/>
                  <w:vMerge/>
                  <w:tcBorders>
                    <w:top w:val="single" w:sz="8" w:space="0" w:color="E76618"/>
                    <w:left w:val="single" w:sz="8" w:space="0" w:color="E76618"/>
                    <w:bottom w:val="single" w:sz="8" w:space="0" w:color="E76618"/>
                    <w:right w:val="single" w:sz="8" w:space="0" w:color="E76618"/>
                  </w:tcBorders>
                  <w:vAlign w:val="center"/>
                  <w:hideMark/>
                </w:tcPr>
                <w:p w14:paraId="0ACF2C6C" w14:textId="77777777" w:rsidR="00174B5A" w:rsidRPr="008F10FA" w:rsidRDefault="00174B5A" w:rsidP="00347821">
                  <w:pPr>
                    <w:spacing w:after="0" w:line="240" w:lineRule="auto"/>
                    <w:rPr>
                      <w:rFonts w:ascii="Arial" w:eastAsia="Times New Roman" w:hAnsi="Arial" w:cs="Arial"/>
                      <w:b/>
                      <w:bCs/>
                      <w:color w:val="000000"/>
                      <w:lang w:eastAsia="en-GB"/>
                    </w:rPr>
                  </w:pPr>
                </w:p>
              </w:tc>
              <w:tc>
                <w:tcPr>
                  <w:tcW w:w="498" w:type="pct"/>
                  <w:tcBorders>
                    <w:top w:val="nil"/>
                    <w:left w:val="nil"/>
                    <w:bottom w:val="single" w:sz="8" w:space="0" w:color="E76618"/>
                    <w:right w:val="single" w:sz="8" w:space="0" w:color="E76618"/>
                  </w:tcBorders>
                  <w:shd w:val="clear" w:color="000000" w:fill="F5C1A2"/>
                  <w:vAlign w:val="center"/>
                  <w:hideMark/>
                </w:tcPr>
                <w:p w14:paraId="48E7EE72" w14:textId="77777777" w:rsidR="00174B5A" w:rsidRPr="008F10FA" w:rsidRDefault="00174B5A" w:rsidP="00347821">
                  <w:pPr>
                    <w:spacing w:after="0" w:line="240" w:lineRule="auto"/>
                    <w:jc w:val="center"/>
                    <w:rPr>
                      <w:rFonts w:ascii="Arial" w:eastAsia="Times New Roman" w:hAnsi="Arial" w:cs="Arial"/>
                      <w:color w:val="000000"/>
                      <w:szCs w:val="16"/>
                      <w:lang w:eastAsia="en-GB"/>
                    </w:rPr>
                  </w:pPr>
                  <w:r w:rsidRPr="008F10FA">
                    <w:rPr>
                      <w:rFonts w:ascii="Arial" w:eastAsia="Times New Roman" w:hAnsi="Arial" w:cs="Arial"/>
                      <w:color w:val="000000"/>
                      <w:szCs w:val="16"/>
                      <w:lang w:eastAsia="en-GB"/>
                    </w:rPr>
                    <w:t>applied</w:t>
                  </w:r>
                </w:p>
              </w:tc>
              <w:tc>
                <w:tcPr>
                  <w:tcW w:w="624" w:type="pct"/>
                  <w:tcBorders>
                    <w:top w:val="nil"/>
                    <w:left w:val="nil"/>
                    <w:bottom w:val="single" w:sz="8" w:space="0" w:color="E76618"/>
                    <w:right w:val="single" w:sz="8" w:space="0" w:color="E76618"/>
                  </w:tcBorders>
                  <w:shd w:val="clear" w:color="000000" w:fill="F5C1A2"/>
                  <w:vAlign w:val="center"/>
                  <w:hideMark/>
                </w:tcPr>
                <w:p w14:paraId="04B362A2" w14:textId="77777777" w:rsidR="00174B5A" w:rsidRPr="008F10FA" w:rsidRDefault="00174B5A" w:rsidP="00347821">
                  <w:pPr>
                    <w:spacing w:after="0" w:line="240" w:lineRule="auto"/>
                    <w:jc w:val="center"/>
                    <w:rPr>
                      <w:rFonts w:ascii="Arial" w:eastAsia="Times New Roman" w:hAnsi="Arial" w:cs="Arial"/>
                      <w:color w:val="000000"/>
                      <w:szCs w:val="16"/>
                      <w:lang w:eastAsia="en-GB"/>
                    </w:rPr>
                  </w:pPr>
                  <w:r w:rsidRPr="008F10FA">
                    <w:rPr>
                      <w:rFonts w:ascii="Arial" w:eastAsia="Times New Roman" w:hAnsi="Arial" w:cs="Arial"/>
                      <w:color w:val="000000"/>
                      <w:szCs w:val="16"/>
                      <w:lang w:eastAsia="en-GB"/>
                    </w:rPr>
                    <w:t>appointed</w:t>
                  </w:r>
                </w:p>
              </w:tc>
              <w:tc>
                <w:tcPr>
                  <w:tcW w:w="498" w:type="pct"/>
                  <w:tcBorders>
                    <w:top w:val="nil"/>
                    <w:left w:val="nil"/>
                    <w:bottom w:val="single" w:sz="8" w:space="0" w:color="E76618"/>
                    <w:right w:val="single" w:sz="8" w:space="0" w:color="E76618"/>
                  </w:tcBorders>
                  <w:shd w:val="clear" w:color="000000" w:fill="F5C1A2"/>
                  <w:vAlign w:val="center"/>
                  <w:hideMark/>
                </w:tcPr>
                <w:p w14:paraId="70DBA4CF" w14:textId="77777777" w:rsidR="00174B5A" w:rsidRPr="008F10FA" w:rsidRDefault="00174B5A" w:rsidP="00347821">
                  <w:pPr>
                    <w:spacing w:after="0" w:line="240" w:lineRule="auto"/>
                    <w:jc w:val="center"/>
                    <w:rPr>
                      <w:rFonts w:ascii="Arial" w:eastAsia="Times New Roman" w:hAnsi="Arial" w:cs="Arial"/>
                      <w:color w:val="000000"/>
                      <w:szCs w:val="16"/>
                      <w:lang w:eastAsia="en-GB"/>
                    </w:rPr>
                  </w:pPr>
                  <w:r w:rsidRPr="008F10FA">
                    <w:rPr>
                      <w:rFonts w:ascii="Arial" w:eastAsia="Times New Roman" w:hAnsi="Arial" w:cs="Arial"/>
                      <w:color w:val="000000"/>
                      <w:szCs w:val="16"/>
                      <w:lang w:eastAsia="en-GB"/>
                    </w:rPr>
                    <w:t>applied</w:t>
                  </w:r>
                </w:p>
              </w:tc>
              <w:tc>
                <w:tcPr>
                  <w:tcW w:w="624" w:type="pct"/>
                  <w:tcBorders>
                    <w:top w:val="nil"/>
                    <w:left w:val="nil"/>
                    <w:bottom w:val="single" w:sz="8" w:space="0" w:color="E76618"/>
                    <w:right w:val="single" w:sz="8" w:space="0" w:color="E76618"/>
                  </w:tcBorders>
                  <w:shd w:val="clear" w:color="000000" w:fill="F5C1A2"/>
                  <w:vAlign w:val="center"/>
                  <w:hideMark/>
                </w:tcPr>
                <w:p w14:paraId="354E8FBD" w14:textId="77777777" w:rsidR="00174B5A" w:rsidRPr="008F10FA" w:rsidRDefault="00174B5A" w:rsidP="00347821">
                  <w:pPr>
                    <w:spacing w:after="0" w:line="240" w:lineRule="auto"/>
                    <w:jc w:val="center"/>
                    <w:rPr>
                      <w:rFonts w:ascii="Arial" w:eastAsia="Times New Roman" w:hAnsi="Arial" w:cs="Arial"/>
                      <w:color w:val="000000"/>
                      <w:szCs w:val="16"/>
                      <w:lang w:eastAsia="en-GB"/>
                    </w:rPr>
                  </w:pPr>
                  <w:r w:rsidRPr="008F10FA">
                    <w:rPr>
                      <w:rFonts w:ascii="Arial" w:eastAsia="Times New Roman" w:hAnsi="Arial" w:cs="Arial"/>
                      <w:color w:val="000000"/>
                      <w:szCs w:val="16"/>
                      <w:lang w:eastAsia="en-GB"/>
                    </w:rPr>
                    <w:t>appointed</w:t>
                  </w:r>
                </w:p>
              </w:tc>
              <w:tc>
                <w:tcPr>
                  <w:tcW w:w="498" w:type="pct"/>
                  <w:tcBorders>
                    <w:top w:val="nil"/>
                    <w:left w:val="nil"/>
                    <w:bottom w:val="single" w:sz="8" w:space="0" w:color="E76618"/>
                    <w:right w:val="single" w:sz="8" w:space="0" w:color="E76618"/>
                  </w:tcBorders>
                  <w:shd w:val="clear" w:color="000000" w:fill="F5C1A2"/>
                  <w:vAlign w:val="center"/>
                  <w:hideMark/>
                </w:tcPr>
                <w:p w14:paraId="21ED06ED" w14:textId="77777777" w:rsidR="00174B5A" w:rsidRPr="008F10FA" w:rsidRDefault="00174B5A" w:rsidP="00347821">
                  <w:pPr>
                    <w:spacing w:after="0" w:line="240" w:lineRule="auto"/>
                    <w:jc w:val="center"/>
                    <w:rPr>
                      <w:rFonts w:ascii="Arial" w:eastAsia="Times New Roman" w:hAnsi="Arial" w:cs="Arial"/>
                      <w:color w:val="000000"/>
                      <w:szCs w:val="16"/>
                      <w:lang w:eastAsia="en-GB"/>
                    </w:rPr>
                  </w:pPr>
                  <w:r w:rsidRPr="008F10FA">
                    <w:rPr>
                      <w:rFonts w:ascii="Arial" w:eastAsia="Times New Roman" w:hAnsi="Arial" w:cs="Arial"/>
                      <w:color w:val="000000"/>
                      <w:szCs w:val="16"/>
                      <w:lang w:eastAsia="en-GB"/>
                    </w:rPr>
                    <w:t>applied</w:t>
                  </w:r>
                </w:p>
              </w:tc>
              <w:tc>
                <w:tcPr>
                  <w:tcW w:w="624" w:type="pct"/>
                  <w:tcBorders>
                    <w:top w:val="nil"/>
                    <w:left w:val="nil"/>
                    <w:bottom w:val="single" w:sz="8" w:space="0" w:color="E76618"/>
                    <w:right w:val="single" w:sz="8" w:space="0" w:color="E76618"/>
                  </w:tcBorders>
                  <w:shd w:val="clear" w:color="000000" w:fill="F5C1A2"/>
                  <w:vAlign w:val="center"/>
                  <w:hideMark/>
                </w:tcPr>
                <w:p w14:paraId="1D2F6D98" w14:textId="77777777" w:rsidR="00174B5A" w:rsidRPr="008F10FA" w:rsidRDefault="00174B5A" w:rsidP="00347821">
                  <w:pPr>
                    <w:spacing w:after="0" w:line="240" w:lineRule="auto"/>
                    <w:jc w:val="center"/>
                    <w:rPr>
                      <w:rFonts w:ascii="Arial" w:eastAsia="Times New Roman" w:hAnsi="Arial" w:cs="Arial"/>
                      <w:color w:val="000000"/>
                      <w:szCs w:val="16"/>
                      <w:lang w:eastAsia="en-GB"/>
                    </w:rPr>
                  </w:pPr>
                  <w:r w:rsidRPr="008F10FA">
                    <w:rPr>
                      <w:rFonts w:ascii="Arial" w:eastAsia="Times New Roman" w:hAnsi="Arial" w:cs="Arial"/>
                      <w:color w:val="000000"/>
                      <w:szCs w:val="16"/>
                      <w:lang w:eastAsia="en-GB"/>
                    </w:rPr>
                    <w:t>appointed</w:t>
                  </w:r>
                </w:p>
              </w:tc>
            </w:tr>
            <w:tr w:rsidR="00174B5A" w:rsidRPr="008F10FA" w14:paraId="2508C699" w14:textId="77777777" w:rsidTr="00347821">
              <w:trPr>
                <w:trHeight w:val="20"/>
              </w:trPr>
              <w:tc>
                <w:tcPr>
                  <w:tcW w:w="1634" w:type="pct"/>
                  <w:vMerge/>
                  <w:tcBorders>
                    <w:top w:val="single" w:sz="8" w:space="0" w:color="E76618"/>
                    <w:left w:val="single" w:sz="8" w:space="0" w:color="E76618"/>
                    <w:bottom w:val="single" w:sz="8" w:space="0" w:color="E76618"/>
                    <w:right w:val="single" w:sz="8" w:space="0" w:color="E76618"/>
                  </w:tcBorders>
                  <w:vAlign w:val="center"/>
                  <w:hideMark/>
                </w:tcPr>
                <w:p w14:paraId="7D241697" w14:textId="77777777" w:rsidR="00174B5A" w:rsidRPr="008F10FA" w:rsidRDefault="00174B5A" w:rsidP="00347821">
                  <w:pPr>
                    <w:spacing w:after="0" w:line="240" w:lineRule="auto"/>
                    <w:rPr>
                      <w:rFonts w:ascii="Arial" w:eastAsia="Times New Roman" w:hAnsi="Arial" w:cs="Arial"/>
                      <w:b/>
                      <w:bCs/>
                      <w:color w:val="000000"/>
                      <w:lang w:eastAsia="en-GB"/>
                    </w:rPr>
                  </w:pPr>
                </w:p>
              </w:tc>
              <w:tc>
                <w:tcPr>
                  <w:tcW w:w="498" w:type="pct"/>
                  <w:tcBorders>
                    <w:top w:val="nil"/>
                    <w:left w:val="nil"/>
                    <w:bottom w:val="single" w:sz="8" w:space="0" w:color="E76618"/>
                    <w:right w:val="single" w:sz="8" w:space="0" w:color="E76618"/>
                  </w:tcBorders>
                  <w:shd w:val="clear" w:color="000000" w:fill="F5C1A2"/>
                  <w:vAlign w:val="center"/>
                  <w:hideMark/>
                </w:tcPr>
                <w:p w14:paraId="6C83952A" w14:textId="77777777" w:rsidR="00174B5A" w:rsidRPr="008F10FA" w:rsidRDefault="00174B5A" w:rsidP="00347821">
                  <w:pPr>
                    <w:spacing w:after="0" w:line="240" w:lineRule="auto"/>
                    <w:jc w:val="center"/>
                    <w:rPr>
                      <w:rFonts w:ascii="Arial" w:eastAsia="Times New Roman" w:hAnsi="Arial" w:cs="Arial"/>
                      <w:color w:val="000000"/>
                      <w:szCs w:val="16"/>
                      <w:lang w:eastAsia="en-GB"/>
                    </w:rPr>
                  </w:pPr>
                  <w:r w:rsidRPr="008F10FA">
                    <w:rPr>
                      <w:rFonts w:ascii="Arial" w:eastAsia="Times New Roman" w:hAnsi="Arial" w:cs="Arial"/>
                      <w:color w:val="000000"/>
                      <w:szCs w:val="16"/>
                      <w:lang w:eastAsia="en-GB"/>
                    </w:rPr>
                    <w:t>%</w:t>
                  </w:r>
                </w:p>
              </w:tc>
              <w:tc>
                <w:tcPr>
                  <w:tcW w:w="624" w:type="pct"/>
                  <w:tcBorders>
                    <w:top w:val="nil"/>
                    <w:left w:val="nil"/>
                    <w:bottom w:val="single" w:sz="8" w:space="0" w:color="E76618"/>
                    <w:right w:val="single" w:sz="8" w:space="0" w:color="E76618"/>
                  </w:tcBorders>
                  <w:shd w:val="clear" w:color="000000" w:fill="F5C1A2"/>
                  <w:vAlign w:val="center"/>
                  <w:hideMark/>
                </w:tcPr>
                <w:p w14:paraId="0EFE6545" w14:textId="77777777" w:rsidR="00174B5A" w:rsidRPr="008F10FA" w:rsidRDefault="00174B5A" w:rsidP="00347821">
                  <w:pPr>
                    <w:spacing w:after="0" w:line="240" w:lineRule="auto"/>
                    <w:jc w:val="center"/>
                    <w:rPr>
                      <w:rFonts w:ascii="Arial" w:eastAsia="Times New Roman" w:hAnsi="Arial" w:cs="Arial"/>
                      <w:color w:val="000000"/>
                      <w:szCs w:val="16"/>
                      <w:lang w:eastAsia="en-GB"/>
                    </w:rPr>
                  </w:pPr>
                  <w:r w:rsidRPr="008F10FA">
                    <w:rPr>
                      <w:rFonts w:ascii="Arial" w:eastAsia="Times New Roman" w:hAnsi="Arial" w:cs="Arial"/>
                      <w:color w:val="000000"/>
                      <w:szCs w:val="16"/>
                      <w:lang w:eastAsia="en-GB"/>
                    </w:rPr>
                    <w:t>%</w:t>
                  </w:r>
                </w:p>
              </w:tc>
              <w:tc>
                <w:tcPr>
                  <w:tcW w:w="498" w:type="pct"/>
                  <w:tcBorders>
                    <w:top w:val="nil"/>
                    <w:left w:val="nil"/>
                    <w:bottom w:val="single" w:sz="8" w:space="0" w:color="E76618"/>
                    <w:right w:val="single" w:sz="8" w:space="0" w:color="E76618"/>
                  </w:tcBorders>
                  <w:shd w:val="clear" w:color="000000" w:fill="F5C1A2"/>
                  <w:vAlign w:val="center"/>
                  <w:hideMark/>
                </w:tcPr>
                <w:p w14:paraId="507FC907" w14:textId="77777777" w:rsidR="00174B5A" w:rsidRPr="008F10FA" w:rsidRDefault="00174B5A" w:rsidP="00347821">
                  <w:pPr>
                    <w:spacing w:after="0" w:line="240" w:lineRule="auto"/>
                    <w:jc w:val="center"/>
                    <w:rPr>
                      <w:rFonts w:ascii="Arial" w:eastAsia="Times New Roman" w:hAnsi="Arial" w:cs="Arial"/>
                      <w:color w:val="000000"/>
                      <w:szCs w:val="16"/>
                      <w:lang w:eastAsia="en-GB"/>
                    </w:rPr>
                  </w:pPr>
                  <w:r w:rsidRPr="008F10FA">
                    <w:rPr>
                      <w:rFonts w:ascii="Arial" w:eastAsia="Times New Roman" w:hAnsi="Arial" w:cs="Arial"/>
                      <w:color w:val="000000"/>
                      <w:szCs w:val="16"/>
                      <w:lang w:eastAsia="en-GB"/>
                    </w:rPr>
                    <w:t>%</w:t>
                  </w:r>
                </w:p>
              </w:tc>
              <w:tc>
                <w:tcPr>
                  <w:tcW w:w="624" w:type="pct"/>
                  <w:tcBorders>
                    <w:top w:val="nil"/>
                    <w:left w:val="nil"/>
                    <w:bottom w:val="single" w:sz="8" w:space="0" w:color="E76618"/>
                    <w:right w:val="single" w:sz="8" w:space="0" w:color="E76618"/>
                  </w:tcBorders>
                  <w:shd w:val="clear" w:color="000000" w:fill="F5C1A2"/>
                  <w:vAlign w:val="center"/>
                  <w:hideMark/>
                </w:tcPr>
                <w:p w14:paraId="514FFDE3" w14:textId="77777777" w:rsidR="00174B5A" w:rsidRPr="008F10FA" w:rsidRDefault="00174B5A" w:rsidP="00347821">
                  <w:pPr>
                    <w:spacing w:after="0" w:line="240" w:lineRule="auto"/>
                    <w:jc w:val="center"/>
                    <w:rPr>
                      <w:rFonts w:ascii="Arial" w:eastAsia="Times New Roman" w:hAnsi="Arial" w:cs="Arial"/>
                      <w:color w:val="000000"/>
                      <w:szCs w:val="16"/>
                      <w:lang w:eastAsia="en-GB"/>
                    </w:rPr>
                  </w:pPr>
                  <w:r w:rsidRPr="008F10FA">
                    <w:rPr>
                      <w:rFonts w:ascii="Arial" w:eastAsia="Times New Roman" w:hAnsi="Arial" w:cs="Arial"/>
                      <w:color w:val="000000"/>
                      <w:szCs w:val="16"/>
                      <w:lang w:eastAsia="en-GB"/>
                    </w:rPr>
                    <w:t>%</w:t>
                  </w:r>
                </w:p>
              </w:tc>
              <w:tc>
                <w:tcPr>
                  <w:tcW w:w="498" w:type="pct"/>
                  <w:tcBorders>
                    <w:top w:val="nil"/>
                    <w:left w:val="nil"/>
                    <w:bottom w:val="single" w:sz="8" w:space="0" w:color="E76618"/>
                    <w:right w:val="single" w:sz="8" w:space="0" w:color="E76618"/>
                  </w:tcBorders>
                  <w:shd w:val="clear" w:color="000000" w:fill="F5C1A2"/>
                  <w:vAlign w:val="center"/>
                  <w:hideMark/>
                </w:tcPr>
                <w:p w14:paraId="04CBE055" w14:textId="77777777" w:rsidR="00174B5A" w:rsidRPr="008F10FA" w:rsidRDefault="00174B5A" w:rsidP="00347821">
                  <w:pPr>
                    <w:spacing w:after="0" w:line="240" w:lineRule="auto"/>
                    <w:jc w:val="center"/>
                    <w:rPr>
                      <w:rFonts w:ascii="Arial" w:eastAsia="Times New Roman" w:hAnsi="Arial" w:cs="Arial"/>
                      <w:color w:val="000000"/>
                      <w:szCs w:val="16"/>
                      <w:lang w:eastAsia="en-GB"/>
                    </w:rPr>
                  </w:pPr>
                  <w:r w:rsidRPr="008F10FA">
                    <w:rPr>
                      <w:rFonts w:ascii="Arial" w:eastAsia="Times New Roman" w:hAnsi="Arial" w:cs="Arial"/>
                      <w:color w:val="000000"/>
                      <w:szCs w:val="16"/>
                      <w:lang w:eastAsia="en-GB"/>
                    </w:rPr>
                    <w:t>%</w:t>
                  </w:r>
                </w:p>
              </w:tc>
              <w:tc>
                <w:tcPr>
                  <w:tcW w:w="624" w:type="pct"/>
                  <w:tcBorders>
                    <w:top w:val="nil"/>
                    <w:left w:val="nil"/>
                    <w:bottom w:val="single" w:sz="8" w:space="0" w:color="E76618"/>
                    <w:right w:val="single" w:sz="8" w:space="0" w:color="E76618"/>
                  </w:tcBorders>
                  <w:shd w:val="clear" w:color="000000" w:fill="F5C1A2"/>
                  <w:vAlign w:val="center"/>
                  <w:hideMark/>
                </w:tcPr>
                <w:p w14:paraId="1C69E1D1" w14:textId="77777777" w:rsidR="00174B5A" w:rsidRPr="008F10FA" w:rsidRDefault="00174B5A" w:rsidP="00347821">
                  <w:pPr>
                    <w:spacing w:after="0" w:line="240" w:lineRule="auto"/>
                    <w:jc w:val="center"/>
                    <w:rPr>
                      <w:rFonts w:ascii="Arial" w:eastAsia="Times New Roman" w:hAnsi="Arial" w:cs="Arial"/>
                      <w:color w:val="000000"/>
                      <w:szCs w:val="16"/>
                      <w:lang w:eastAsia="en-GB"/>
                    </w:rPr>
                  </w:pPr>
                  <w:r w:rsidRPr="008F10FA">
                    <w:rPr>
                      <w:rFonts w:ascii="Arial" w:eastAsia="Times New Roman" w:hAnsi="Arial" w:cs="Arial"/>
                      <w:color w:val="000000"/>
                      <w:szCs w:val="16"/>
                      <w:lang w:eastAsia="en-GB"/>
                    </w:rPr>
                    <w:t>%</w:t>
                  </w:r>
                </w:p>
              </w:tc>
            </w:tr>
            <w:tr w:rsidR="00174B5A" w:rsidRPr="008F10FA" w14:paraId="5C4207A9" w14:textId="77777777" w:rsidTr="00347821">
              <w:trPr>
                <w:cantSplit/>
                <w:trHeight w:val="20"/>
              </w:trPr>
              <w:tc>
                <w:tcPr>
                  <w:tcW w:w="1634" w:type="pct"/>
                  <w:tcBorders>
                    <w:top w:val="nil"/>
                    <w:left w:val="single" w:sz="8" w:space="0" w:color="E76618"/>
                    <w:bottom w:val="single" w:sz="8" w:space="0" w:color="E76618"/>
                    <w:right w:val="single" w:sz="8" w:space="0" w:color="E76618"/>
                  </w:tcBorders>
                  <w:shd w:val="clear" w:color="auto" w:fill="auto"/>
                  <w:vAlign w:val="center"/>
                  <w:hideMark/>
                </w:tcPr>
                <w:p w14:paraId="5CB7B3D9" w14:textId="77777777" w:rsidR="00174B5A" w:rsidRPr="008F10FA" w:rsidRDefault="00174B5A" w:rsidP="00347821">
                  <w:pPr>
                    <w:spacing w:after="0" w:line="240" w:lineRule="auto"/>
                    <w:rPr>
                      <w:rFonts w:ascii="Arial" w:eastAsia="Times New Roman" w:hAnsi="Arial" w:cs="Arial"/>
                      <w:color w:val="000000"/>
                      <w:lang w:eastAsia="en-GB"/>
                    </w:rPr>
                  </w:pPr>
                  <w:r w:rsidRPr="008F10FA">
                    <w:rPr>
                      <w:rFonts w:ascii="Arial" w:eastAsia="Times New Roman" w:hAnsi="Arial" w:cs="Arial"/>
                      <w:bCs/>
                      <w:color w:val="000000"/>
                      <w:lang w:eastAsia="en-GB"/>
                    </w:rPr>
                    <w:t>a. Less than £5,200 per year</w:t>
                  </w:r>
                </w:p>
              </w:tc>
              <w:tc>
                <w:tcPr>
                  <w:tcW w:w="498" w:type="pct"/>
                  <w:tcBorders>
                    <w:top w:val="nil"/>
                    <w:left w:val="nil"/>
                    <w:bottom w:val="single" w:sz="8" w:space="0" w:color="E76618"/>
                    <w:right w:val="single" w:sz="8" w:space="0" w:color="E76618"/>
                  </w:tcBorders>
                  <w:shd w:val="clear" w:color="auto" w:fill="auto"/>
                  <w:vAlign w:val="center"/>
                  <w:hideMark/>
                </w:tcPr>
                <w:p w14:paraId="0E7B64A0"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0.7</w:t>
                  </w:r>
                </w:p>
              </w:tc>
              <w:tc>
                <w:tcPr>
                  <w:tcW w:w="624" w:type="pct"/>
                  <w:tcBorders>
                    <w:top w:val="nil"/>
                    <w:left w:val="nil"/>
                    <w:bottom w:val="single" w:sz="8" w:space="0" w:color="E76618"/>
                    <w:right w:val="single" w:sz="8" w:space="0" w:color="E76618"/>
                  </w:tcBorders>
                  <w:shd w:val="clear" w:color="auto" w:fill="auto"/>
                  <w:vAlign w:val="center"/>
                  <w:hideMark/>
                </w:tcPr>
                <w:p w14:paraId="2ED00AF8"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0</w:t>
                  </w:r>
                </w:p>
              </w:tc>
              <w:tc>
                <w:tcPr>
                  <w:tcW w:w="498" w:type="pct"/>
                  <w:tcBorders>
                    <w:top w:val="nil"/>
                    <w:left w:val="nil"/>
                    <w:bottom w:val="single" w:sz="8" w:space="0" w:color="E76618"/>
                    <w:right w:val="single" w:sz="8" w:space="0" w:color="E76618"/>
                  </w:tcBorders>
                  <w:shd w:val="clear" w:color="auto" w:fill="auto"/>
                  <w:vAlign w:val="center"/>
                  <w:hideMark/>
                </w:tcPr>
                <w:p w14:paraId="7E419273"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0.6</w:t>
                  </w:r>
                </w:p>
              </w:tc>
              <w:tc>
                <w:tcPr>
                  <w:tcW w:w="624" w:type="pct"/>
                  <w:tcBorders>
                    <w:top w:val="nil"/>
                    <w:left w:val="nil"/>
                    <w:bottom w:val="single" w:sz="8" w:space="0" w:color="E76618"/>
                    <w:right w:val="single" w:sz="8" w:space="0" w:color="E76618"/>
                  </w:tcBorders>
                  <w:shd w:val="clear" w:color="auto" w:fill="auto"/>
                  <w:vAlign w:val="center"/>
                  <w:hideMark/>
                </w:tcPr>
                <w:p w14:paraId="349C351F"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0</w:t>
                  </w:r>
                </w:p>
              </w:tc>
              <w:tc>
                <w:tcPr>
                  <w:tcW w:w="498" w:type="pct"/>
                  <w:tcBorders>
                    <w:top w:val="nil"/>
                    <w:left w:val="nil"/>
                    <w:bottom w:val="single" w:sz="8" w:space="0" w:color="E76618"/>
                    <w:right w:val="single" w:sz="8" w:space="0" w:color="E76618"/>
                  </w:tcBorders>
                  <w:shd w:val="clear" w:color="auto" w:fill="auto"/>
                  <w:vAlign w:val="center"/>
                  <w:hideMark/>
                </w:tcPr>
                <w:p w14:paraId="67AEBD1A"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1.2</w:t>
                  </w:r>
                </w:p>
              </w:tc>
              <w:tc>
                <w:tcPr>
                  <w:tcW w:w="624" w:type="pct"/>
                  <w:tcBorders>
                    <w:top w:val="nil"/>
                    <w:left w:val="nil"/>
                    <w:bottom w:val="single" w:sz="8" w:space="0" w:color="E76618"/>
                    <w:right w:val="single" w:sz="8" w:space="0" w:color="E76618"/>
                  </w:tcBorders>
                  <w:shd w:val="clear" w:color="auto" w:fill="auto"/>
                  <w:vAlign w:val="center"/>
                  <w:hideMark/>
                </w:tcPr>
                <w:p w14:paraId="35997C4B"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0</w:t>
                  </w:r>
                </w:p>
              </w:tc>
            </w:tr>
            <w:tr w:rsidR="00174B5A" w:rsidRPr="008F10FA" w14:paraId="11791E2A" w14:textId="77777777" w:rsidTr="00347821">
              <w:trPr>
                <w:cantSplit/>
                <w:trHeight w:val="20"/>
              </w:trPr>
              <w:tc>
                <w:tcPr>
                  <w:tcW w:w="1634" w:type="pct"/>
                  <w:tcBorders>
                    <w:top w:val="nil"/>
                    <w:left w:val="single" w:sz="8" w:space="0" w:color="E76618"/>
                    <w:bottom w:val="single" w:sz="8" w:space="0" w:color="E76618"/>
                    <w:right w:val="single" w:sz="8" w:space="0" w:color="E76618"/>
                  </w:tcBorders>
                  <w:shd w:val="clear" w:color="auto" w:fill="auto"/>
                  <w:vAlign w:val="center"/>
                  <w:hideMark/>
                </w:tcPr>
                <w:p w14:paraId="6C2CC3FF" w14:textId="77777777" w:rsidR="00174B5A" w:rsidRPr="008F10FA" w:rsidRDefault="00174B5A" w:rsidP="00347821">
                  <w:pPr>
                    <w:spacing w:after="0" w:line="240" w:lineRule="auto"/>
                    <w:rPr>
                      <w:rFonts w:ascii="Arial" w:eastAsia="Times New Roman" w:hAnsi="Arial" w:cs="Arial"/>
                      <w:color w:val="000000"/>
                      <w:lang w:eastAsia="en-GB"/>
                    </w:rPr>
                  </w:pPr>
                  <w:r w:rsidRPr="008F10FA">
                    <w:rPr>
                      <w:rFonts w:ascii="Arial" w:eastAsia="Times New Roman" w:hAnsi="Arial" w:cs="Arial"/>
                      <w:bCs/>
                      <w:color w:val="000000"/>
                      <w:lang w:eastAsia="en-GB"/>
                    </w:rPr>
                    <w:t>b. £5,200 to £10,399 per year</w:t>
                  </w:r>
                </w:p>
              </w:tc>
              <w:tc>
                <w:tcPr>
                  <w:tcW w:w="498" w:type="pct"/>
                  <w:tcBorders>
                    <w:top w:val="nil"/>
                    <w:left w:val="nil"/>
                    <w:bottom w:val="single" w:sz="8" w:space="0" w:color="E76618"/>
                    <w:right w:val="single" w:sz="8" w:space="0" w:color="E76618"/>
                  </w:tcBorders>
                  <w:shd w:val="clear" w:color="auto" w:fill="auto"/>
                  <w:vAlign w:val="center"/>
                  <w:hideMark/>
                </w:tcPr>
                <w:p w14:paraId="0C67F32B"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2.1</w:t>
                  </w:r>
                </w:p>
              </w:tc>
              <w:tc>
                <w:tcPr>
                  <w:tcW w:w="624" w:type="pct"/>
                  <w:tcBorders>
                    <w:top w:val="nil"/>
                    <w:left w:val="nil"/>
                    <w:bottom w:val="single" w:sz="8" w:space="0" w:color="E76618"/>
                    <w:right w:val="single" w:sz="8" w:space="0" w:color="E76618"/>
                  </w:tcBorders>
                  <w:shd w:val="clear" w:color="auto" w:fill="auto"/>
                  <w:vAlign w:val="center"/>
                  <w:hideMark/>
                </w:tcPr>
                <w:p w14:paraId="0AE870E5"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0.9</w:t>
                  </w:r>
                </w:p>
              </w:tc>
              <w:tc>
                <w:tcPr>
                  <w:tcW w:w="498" w:type="pct"/>
                  <w:tcBorders>
                    <w:top w:val="nil"/>
                    <w:left w:val="nil"/>
                    <w:bottom w:val="single" w:sz="8" w:space="0" w:color="E76618"/>
                    <w:right w:val="single" w:sz="8" w:space="0" w:color="E76618"/>
                  </w:tcBorders>
                  <w:shd w:val="clear" w:color="auto" w:fill="auto"/>
                  <w:vAlign w:val="center"/>
                  <w:hideMark/>
                </w:tcPr>
                <w:p w14:paraId="123FC47B"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1.3</w:t>
                  </w:r>
                </w:p>
              </w:tc>
              <w:tc>
                <w:tcPr>
                  <w:tcW w:w="624" w:type="pct"/>
                  <w:tcBorders>
                    <w:top w:val="nil"/>
                    <w:left w:val="nil"/>
                    <w:bottom w:val="single" w:sz="8" w:space="0" w:color="E76618"/>
                    <w:right w:val="single" w:sz="8" w:space="0" w:color="E76618"/>
                  </w:tcBorders>
                  <w:shd w:val="clear" w:color="auto" w:fill="auto"/>
                  <w:vAlign w:val="center"/>
                  <w:hideMark/>
                </w:tcPr>
                <w:p w14:paraId="33615A82"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0.6</w:t>
                  </w:r>
                </w:p>
              </w:tc>
              <w:tc>
                <w:tcPr>
                  <w:tcW w:w="498" w:type="pct"/>
                  <w:tcBorders>
                    <w:top w:val="nil"/>
                    <w:left w:val="nil"/>
                    <w:bottom w:val="single" w:sz="8" w:space="0" w:color="E76618"/>
                    <w:right w:val="single" w:sz="8" w:space="0" w:color="E76618"/>
                  </w:tcBorders>
                  <w:shd w:val="clear" w:color="auto" w:fill="auto"/>
                  <w:vAlign w:val="center"/>
                  <w:hideMark/>
                </w:tcPr>
                <w:p w14:paraId="38D9ED11"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1.8</w:t>
                  </w:r>
                </w:p>
              </w:tc>
              <w:tc>
                <w:tcPr>
                  <w:tcW w:w="624" w:type="pct"/>
                  <w:tcBorders>
                    <w:top w:val="nil"/>
                    <w:left w:val="nil"/>
                    <w:bottom w:val="single" w:sz="8" w:space="0" w:color="E76618"/>
                    <w:right w:val="single" w:sz="8" w:space="0" w:color="E76618"/>
                  </w:tcBorders>
                  <w:shd w:val="clear" w:color="auto" w:fill="auto"/>
                  <w:vAlign w:val="center"/>
                  <w:hideMark/>
                </w:tcPr>
                <w:p w14:paraId="1B6875BA"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0.7</w:t>
                  </w:r>
                </w:p>
              </w:tc>
            </w:tr>
            <w:tr w:rsidR="00174B5A" w:rsidRPr="008F10FA" w14:paraId="5943AEAD" w14:textId="77777777" w:rsidTr="00347821">
              <w:trPr>
                <w:cantSplit/>
                <w:trHeight w:val="20"/>
              </w:trPr>
              <w:tc>
                <w:tcPr>
                  <w:tcW w:w="1634" w:type="pct"/>
                  <w:tcBorders>
                    <w:top w:val="nil"/>
                    <w:left w:val="single" w:sz="8" w:space="0" w:color="E76618"/>
                    <w:bottom w:val="single" w:sz="8" w:space="0" w:color="E76618"/>
                    <w:right w:val="single" w:sz="8" w:space="0" w:color="E76618"/>
                  </w:tcBorders>
                  <w:shd w:val="clear" w:color="auto" w:fill="auto"/>
                  <w:vAlign w:val="center"/>
                  <w:hideMark/>
                </w:tcPr>
                <w:p w14:paraId="6E86F092" w14:textId="77777777" w:rsidR="00174B5A" w:rsidRPr="008F10FA" w:rsidRDefault="00174B5A" w:rsidP="00347821">
                  <w:pPr>
                    <w:spacing w:after="0" w:line="240" w:lineRule="auto"/>
                    <w:rPr>
                      <w:rFonts w:ascii="Arial" w:eastAsia="Times New Roman" w:hAnsi="Arial" w:cs="Arial"/>
                      <w:color w:val="000000"/>
                      <w:lang w:eastAsia="en-GB"/>
                    </w:rPr>
                  </w:pPr>
                  <w:r w:rsidRPr="008F10FA">
                    <w:rPr>
                      <w:rFonts w:ascii="Arial" w:eastAsia="Times New Roman" w:hAnsi="Arial" w:cs="Arial"/>
                      <w:bCs/>
                      <w:color w:val="000000"/>
                      <w:lang w:eastAsia="en-GB"/>
                    </w:rPr>
                    <w:t>c. £10,400 to £15,599 per year</w:t>
                  </w:r>
                </w:p>
              </w:tc>
              <w:tc>
                <w:tcPr>
                  <w:tcW w:w="498" w:type="pct"/>
                  <w:tcBorders>
                    <w:top w:val="nil"/>
                    <w:left w:val="nil"/>
                    <w:bottom w:val="single" w:sz="8" w:space="0" w:color="E76618"/>
                    <w:right w:val="single" w:sz="8" w:space="0" w:color="E76618"/>
                  </w:tcBorders>
                  <w:shd w:val="clear" w:color="auto" w:fill="auto"/>
                  <w:vAlign w:val="center"/>
                  <w:hideMark/>
                </w:tcPr>
                <w:p w14:paraId="49C7FD89"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2.7</w:t>
                  </w:r>
                </w:p>
              </w:tc>
              <w:tc>
                <w:tcPr>
                  <w:tcW w:w="624" w:type="pct"/>
                  <w:tcBorders>
                    <w:top w:val="nil"/>
                    <w:left w:val="nil"/>
                    <w:bottom w:val="single" w:sz="8" w:space="0" w:color="E76618"/>
                    <w:right w:val="single" w:sz="8" w:space="0" w:color="E76618"/>
                  </w:tcBorders>
                  <w:shd w:val="clear" w:color="auto" w:fill="auto"/>
                  <w:vAlign w:val="center"/>
                  <w:hideMark/>
                </w:tcPr>
                <w:p w14:paraId="18564B36"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0</w:t>
                  </w:r>
                </w:p>
              </w:tc>
              <w:tc>
                <w:tcPr>
                  <w:tcW w:w="498" w:type="pct"/>
                  <w:tcBorders>
                    <w:top w:val="nil"/>
                    <w:left w:val="nil"/>
                    <w:bottom w:val="single" w:sz="8" w:space="0" w:color="E76618"/>
                    <w:right w:val="single" w:sz="8" w:space="0" w:color="E76618"/>
                  </w:tcBorders>
                  <w:shd w:val="clear" w:color="auto" w:fill="auto"/>
                  <w:vAlign w:val="center"/>
                  <w:hideMark/>
                </w:tcPr>
                <w:p w14:paraId="4190134F"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2.3</w:t>
                  </w:r>
                </w:p>
              </w:tc>
              <w:tc>
                <w:tcPr>
                  <w:tcW w:w="624" w:type="pct"/>
                  <w:tcBorders>
                    <w:top w:val="nil"/>
                    <w:left w:val="nil"/>
                    <w:bottom w:val="single" w:sz="8" w:space="0" w:color="E76618"/>
                    <w:right w:val="single" w:sz="8" w:space="0" w:color="E76618"/>
                  </w:tcBorders>
                  <w:shd w:val="clear" w:color="auto" w:fill="auto"/>
                  <w:vAlign w:val="center"/>
                  <w:hideMark/>
                </w:tcPr>
                <w:p w14:paraId="4F419C7C"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1.2</w:t>
                  </w:r>
                </w:p>
              </w:tc>
              <w:tc>
                <w:tcPr>
                  <w:tcW w:w="498" w:type="pct"/>
                  <w:tcBorders>
                    <w:top w:val="nil"/>
                    <w:left w:val="nil"/>
                    <w:bottom w:val="single" w:sz="8" w:space="0" w:color="E76618"/>
                    <w:right w:val="single" w:sz="8" w:space="0" w:color="E76618"/>
                  </w:tcBorders>
                  <w:shd w:val="clear" w:color="auto" w:fill="auto"/>
                  <w:vAlign w:val="center"/>
                  <w:hideMark/>
                </w:tcPr>
                <w:p w14:paraId="231D1245"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2.1</w:t>
                  </w:r>
                </w:p>
              </w:tc>
              <w:tc>
                <w:tcPr>
                  <w:tcW w:w="624" w:type="pct"/>
                  <w:tcBorders>
                    <w:top w:val="nil"/>
                    <w:left w:val="nil"/>
                    <w:bottom w:val="single" w:sz="8" w:space="0" w:color="E76618"/>
                    <w:right w:val="single" w:sz="8" w:space="0" w:color="E76618"/>
                  </w:tcBorders>
                  <w:shd w:val="clear" w:color="auto" w:fill="auto"/>
                  <w:vAlign w:val="center"/>
                  <w:hideMark/>
                </w:tcPr>
                <w:p w14:paraId="2D52B703"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1.5</w:t>
                  </w:r>
                </w:p>
              </w:tc>
            </w:tr>
            <w:tr w:rsidR="00174B5A" w:rsidRPr="008F10FA" w14:paraId="03CFCF51" w14:textId="77777777" w:rsidTr="00347821">
              <w:trPr>
                <w:cantSplit/>
                <w:trHeight w:val="20"/>
              </w:trPr>
              <w:tc>
                <w:tcPr>
                  <w:tcW w:w="1634" w:type="pct"/>
                  <w:tcBorders>
                    <w:top w:val="nil"/>
                    <w:left w:val="single" w:sz="8" w:space="0" w:color="E76618"/>
                    <w:bottom w:val="single" w:sz="8" w:space="0" w:color="E76618"/>
                    <w:right w:val="single" w:sz="8" w:space="0" w:color="E76618"/>
                  </w:tcBorders>
                  <w:shd w:val="clear" w:color="auto" w:fill="auto"/>
                  <w:vAlign w:val="center"/>
                  <w:hideMark/>
                </w:tcPr>
                <w:p w14:paraId="149112B8" w14:textId="77777777" w:rsidR="00174B5A" w:rsidRPr="008F10FA" w:rsidRDefault="00174B5A" w:rsidP="00347821">
                  <w:pPr>
                    <w:spacing w:after="0" w:line="240" w:lineRule="auto"/>
                    <w:rPr>
                      <w:rFonts w:ascii="Arial" w:eastAsia="Times New Roman" w:hAnsi="Arial" w:cs="Arial"/>
                      <w:color w:val="000000"/>
                      <w:lang w:eastAsia="en-GB"/>
                    </w:rPr>
                  </w:pPr>
                  <w:r w:rsidRPr="008F10FA">
                    <w:rPr>
                      <w:rFonts w:ascii="Arial" w:eastAsia="Times New Roman" w:hAnsi="Arial" w:cs="Arial"/>
                      <w:bCs/>
                      <w:color w:val="000000"/>
                      <w:lang w:eastAsia="en-GB"/>
                    </w:rPr>
                    <w:t>d. £15,600 to £25,999 per year</w:t>
                  </w:r>
                </w:p>
              </w:tc>
              <w:tc>
                <w:tcPr>
                  <w:tcW w:w="498" w:type="pct"/>
                  <w:tcBorders>
                    <w:top w:val="nil"/>
                    <w:left w:val="nil"/>
                    <w:bottom w:val="single" w:sz="8" w:space="0" w:color="E76618"/>
                    <w:right w:val="single" w:sz="8" w:space="0" w:color="E76618"/>
                  </w:tcBorders>
                  <w:shd w:val="clear" w:color="auto" w:fill="auto"/>
                  <w:vAlign w:val="center"/>
                  <w:hideMark/>
                </w:tcPr>
                <w:p w14:paraId="1C87D797"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7.4</w:t>
                  </w:r>
                </w:p>
              </w:tc>
              <w:tc>
                <w:tcPr>
                  <w:tcW w:w="624" w:type="pct"/>
                  <w:tcBorders>
                    <w:top w:val="nil"/>
                    <w:left w:val="nil"/>
                    <w:bottom w:val="single" w:sz="8" w:space="0" w:color="E76618"/>
                    <w:right w:val="single" w:sz="8" w:space="0" w:color="E76618"/>
                  </w:tcBorders>
                  <w:shd w:val="clear" w:color="auto" w:fill="auto"/>
                  <w:vAlign w:val="center"/>
                  <w:hideMark/>
                </w:tcPr>
                <w:p w14:paraId="22667EEB"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3.7</w:t>
                  </w:r>
                </w:p>
              </w:tc>
              <w:tc>
                <w:tcPr>
                  <w:tcW w:w="498" w:type="pct"/>
                  <w:tcBorders>
                    <w:top w:val="nil"/>
                    <w:left w:val="nil"/>
                    <w:bottom w:val="single" w:sz="8" w:space="0" w:color="E76618"/>
                    <w:right w:val="single" w:sz="8" w:space="0" w:color="E76618"/>
                  </w:tcBorders>
                  <w:shd w:val="clear" w:color="auto" w:fill="auto"/>
                  <w:vAlign w:val="center"/>
                  <w:hideMark/>
                </w:tcPr>
                <w:p w14:paraId="511FC6A6"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7</w:t>
                  </w:r>
                </w:p>
              </w:tc>
              <w:tc>
                <w:tcPr>
                  <w:tcW w:w="624" w:type="pct"/>
                  <w:tcBorders>
                    <w:top w:val="nil"/>
                    <w:left w:val="nil"/>
                    <w:bottom w:val="single" w:sz="8" w:space="0" w:color="E76618"/>
                    <w:right w:val="single" w:sz="8" w:space="0" w:color="E76618"/>
                  </w:tcBorders>
                  <w:shd w:val="clear" w:color="auto" w:fill="auto"/>
                  <w:vAlign w:val="center"/>
                  <w:hideMark/>
                </w:tcPr>
                <w:p w14:paraId="4B14C0DF"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3</w:t>
                  </w:r>
                </w:p>
              </w:tc>
              <w:tc>
                <w:tcPr>
                  <w:tcW w:w="498" w:type="pct"/>
                  <w:tcBorders>
                    <w:top w:val="nil"/>
                    <w:left w:val="nil"/>
                    <w:bottom w:val="single" w:sz="8" w:space="0" w:color="E76618"/>
                    <w:right w:val="single" w:sz="8" w:space="0" w:color="E76618"/>
                  </w:tcBorders>
                  <w:shd w:val="clear" w:color="auto" w:fill="auto"/>
                  <w:vAlign w:val="center"/>
                  <w:hideMark/>
                </w:tcPr>
                <w:p w14:paraId="7637FA6F"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7.6</w:t>
                  </w:r>
                </w:p>
              </w:tc>
              <w:tc>
                <w:tcPr>
                  <w:tcW w:w="624" w:type="pct"/>
                  <w:tcBorders>
                    <w:top w:val="nil"/>
                    <w:left w:val="nil"/>
                    <w:bottom w:val="single" w:sz="8" w:space="0" w:color="E76618"/>
                    <w:right w:val="single" w:sz="8" w:space="0" w:color="E76618"/>
                  </w:tcBorders>
                  <w:shd w:val="clear" w:color="auto" w:fill="auto"/>
                  <w:vAlign w:val="center"/>
                  <w:hideMark/>
                </w:tcPr>
                <w:p w14:paraId="5C8F62D8"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3.7</w:t>
                  </w:r>
                </w:p>
              </w:tc>
            </w:tr>
            <w:tr w:rsidR="00174B5A" w:rsidRPr="008F10FA" w14:paraId="0D23C833" w14:textId="77777777" w:rsidTr="00347821">
              <w:trPr>
                <w:cantSplit/>
                <w:trHeight w:val="20"/>
              </w:trPr>
              <w:tc>
                <w:tcPr>
                  <w:tcW w:w="1634" w:type="pct"/>
                  <w:tcBorders>
                    <w:top w:val="nil"/>
                    <w:left w:val="single" w:sz="8" w:space="0" w:color="E76618"/>
                    <w:bottom w:val="single" w:sz="8" w:space="0" w:color="E76618"/>
                    <w:right w:val="single" w:sz="8" w:space="0" w:color="E76618"/>
                  </w:tcBorders>
                  <w:shd w:val="clear" w:color="auto" w:fill="auto"/>
                  <w:vAlign w:val="center"/>
                  <w:hideMark/>
                </w:tcPr>
                <w:p w14:paraId="5650F78B" w14:textId="77777777" w:rsidR="00174B5A" w:rsidRPr="008F10FA" w:rsidRDefault="00174B5A" w:rsidP="00347821">
                  <w:pPr>
                    <w:spacing w:after="0" w:line="240" w:lineRule="auto"/>
                    <w:rPr>
                      <w:rFonts w:ascii="Arial" w:eastAsia="Times New Roman" w:hAnsi="Arial" w:cs="Arial"/>
                      <w:color w:val="000000"/>
                      <w:lang w:eastAsia="en-GB"/>
                    </w:rPr>
                  </w:pPr>
                  <w:r w:rsidRPr="008F10FA">
                    <w:rPr>
                      <w:rFonts w:ascii="Arial" w:eastAsia="Times New Roman" w:hAnsi="Arial" w:cs="Arial"/>
                      <w:bCs/>
                      <w:color w:val="000000"/>
                      <w:lang w:eastAsia="en-GB"/>
                    </w:rPr>
                    <w:t>e. £26,000 to £36,399 per year</w:t>
                  </w:r>
                </w:p>
              </w:tc>
              <w:tc>
                <w:tcPr>
                  <w:tcW w:w="498" w:type="pct"/>
                  <w:tcBorders>
                    <w:top w:val="nil"/>
                    <w:left w:val="nil"/>
                    <w:bottom w:val="single" w:sz="8" w:space="0" w:color="E76618"/>
                    <w:right w:val="single" w:sz="8" w:space="0" w:color="E76618"/>
                  </w:tcBorders>
                  <w:shd w:val="clear" w:color="auto" w:fill="auto"/>
                  <w:vAlign w:val="center"/>
                  <w:hideMark/>
                </w:tcPr>
                <w:p w14:paraId="7B357445"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10.2</w:t>
                  </w:r>
                </w:p>
              </w:tc>
              <w:tc>
                <w:tcPr>
                  <w:tcW w:w="624" w:type="pct"/>
                  <w:tcBorders>
                    <w:top w:val="nil"/>
                    <w:left w:val="nil"/>
                    <w:bottom w:val="single" w:sz="8" w:space="0" w:color="E76618"/>
                    <w:right w:val="single" w:sz="8" w:space="0" w:color="E76618"/>
                  </w:tcBorders>
                  <w:shd w:val="clear" w:color="auto" w:fill="auto"/>
                  <w:vAlign w:val="center"/>
                  <w:hideMark/>
                </w:tcPr>
                <w:p w14:paraId="4CBA8708"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6.5</w:t>
                  </w:r>
                </w:p>
              </w:tc>
              <w:tc>
                <w:tcPr>
                  <w:tcW w:w="498" w:type="pct"/>
                  <w:tcBorders>
                    <w:top w:val="nil"/>
                    <w:left w:val="nil"/>
                    <w:bottom w:val="single" w:sz="8" w:space="0" w:color="E76618"/>
                    <w:right w:val="single" w:sz="8" w:space="0" w:color="E76618"/>
                  </w:tcBorders>
                  <w:shd w:val="clear" w:color="auto" w:fill="auto"/>
                  <w:vAlign w:val="center"/>
                  <w:hideMark/>
                </w:tcPr>
                <w:p w14:paraId="2ADB2370"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9.3</w:t>
                  </w:r>
                </w:p>
              </w:tc>
              <w:tc>
                <w:tcPr>
                  <w:tcW w:w="624" w:type="pct"/>
                  <w:tcBorders>
                    <w:top w:val="nil"/>
                    <w:left w:val="nil"/>
                    <w:bottom w:val="single" w:sz="8" w:space="0" w:color="E76618"/>
                    <w:right w:val="single" w:sz="8" w:space="0" w:color="E76618"/>
                  </w:tcBorders>
                  <w:shd w:val="clear" w:color="auto" w:fill="auto"/>
                  <w:vAlign w:val="center"/>
                  <w:hideMark/>
                </w:tcPr>
                <w:p w14:paraId="33EB37E3"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5.4</w:t>
                  </w:r>
                </w:p>
              </w:tc>
              <w:tc>
                <w:tcPr>
                  <w:tcW w:w="498" w:type="pct"/>
                  <w:tcBorders>
                    <w:top w:val="nil"/>
                    <w:left w:val="nil"/>
                    <w:bottom w:val="single" w:sz="8" w:space="0" w:color="E76618"/>
                    <w:right w:val="single" w:sz="8" w:space="0" w:color="E76618"/>
                  </w:tcBorders>
                  <w:shd w:val="clear" w:color="auto" w:fill="auto"/>
                  <w:vAlign w:val="center"/>
                  <w:hideMark/>
                </w:tcPr>
                <w:p w14:paraId="61CBBBC8"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10.2</w:t>
                  </w:r>
                </w:p>
              </w:tc>
              <w:tc>
                <w:tcPr>
                  <w:tcW w:w="624" w:type="pct"/>
                  <w:tcBorders>
                    <w:top w:val="nil"/>
                    <w:left w:val="nil"/>
                    <w:bottom w:val="single" w:sz="8" w:space="0" w:color="E76618"/>
                    <w:right w:val="single" w:sz="8" w:space="0" w:color="E76618"/>
                  </w:tcBorders>
                  <w:shd w:val="clear" w:color="auto" w:fill="auto"/>
                  <w:vAlign w:val="center"/>
                  <w:hideMark/>
                </w:tcPr>
                <w:p w14:paraId="5FEFC9F6"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3.7</w:t>
                  </w:r>
                </w:p>
              </w:tc>
            </w:tr>
            <w:tr w:rsidR="00174B5A" w:rsidRPr="008F10FA" w14:paraId="485A4D57" w14:textId="77777777" w:rsidTr="00347821">
              <w:trPr>
                <w:cantSplit/>
                <w:trHeight w:val="20"/>
              </w:trPr>
              <w:tc>
                <w:tcPr>
                  <w:tcW w:w="1634" w:type="pct"/>
                  <w:tcBorders>
                    <w:top w:val="nil"/>
                    <w:left w:val="single" w:sz="8" w:space="0" w:color="E76618"/>
                    <w:bottom w:val="single" w:sz="8" w:space="0" w:color="E76618"/>
                    <w:right w:val="single" w:sz="8" w:space="0" w:color="E76618"/>
                  </w:tcBorders>
                  <w:shd w:val="clear" w:color="auto" w:fill="auto"/>
                  <w:vAlign w:val="center"/>
                  <w:hideMark/>
                </w:tcPr>
                <w:p w14:paraId="30C3FA3C" w14:textId="77777777" w:rsidR="00174B5A" w:rsidRPr="008F10FA" w:rsidRDefault="00174B5A" w:rsidP="00347821">
                  <w:pPr>
                    <w:spacing w:after="0" w:line="240" w:lineRule="auto"/>
                    <w:rPr>
                      <w:rFonts w:ascii="Arial" w:eastAsia="Times New Roman" w:hAnsi="Arial" w:cs="Arial"/>
                      <w:color w:val="000000"/>
                      <w:lang w:eastAsia="en-GB"/>
                    </w:rPr>
                  </w:pPr>
                  <w:r w:rsidRPr="008F10FA">
                    <w:rPr>
                      <w:rFonts w:ascii="Arial" w:eastAsia="Times New Roman" w:hAnsi="Arial" w:cs="Arial"/>
                      <w:bCs/>
                      <w:color w:val="000000"/>
                      <w:lang w:eastAsia="en-GB"/>
                    </w:rPr>
                    <w:t>f. £36,400 to £49,399 per year</w:t>
                  </w:r>
                </w:p>
              </w:tc>
              <w:tc>
                <w:tcPr>
                  <w:tcW w:w="498" w:type="pct"/>
                  <w:tcBorders>
                    <w:top w:val="nil"/>
                    <w:left w:val="nil"/>
                    <w:bottom w:val="single" w:sz="8" w:space="0" w:color="E76618"/>
                    <w:right w:val="single" w:sz="8" w:space="0" w:color="E76618"/>
                  </w:tcBorders>
                  <w:shd w:val="clear" w:color="auto" w:fill="auto"/>
                  <w:vAlign w:val="center"/>
                  <w:hideMark/>
                </w:tcPr>
                <w:p w14:paraId="6963A1FE"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13.7</w:t>
                  </w:r>
                </w:p>
              </w:tc>
              <w:tc>
                <w:tcPr>
                  <w:tcW w:w="624" w:type="pct"/>
                  <w:tcBorders>
                    <w:top w:val="nil"/>
                    <w:left w:val="nil"/>
                    <w:bottom w:val="single" w:sz="8" w:space="0" w:color="E76618"/>
                    <w:right w:val="single" w:sz="8" w:space="0" w:color="E76618"/>
                  </w:tcBorders>
                  <w:shd w:val="clear" w:color="auto" w:fill="auto"/>
                  <w:vAlign w:val="center"/>
                  <w:hideMark/>
                </w:tcPr>
                <w:p w14:paraId="2E4A7114"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9.3</w:t>
                  </w:r>
                </w:p>
              </w:tc>
              <w:tc>
                <w:tcPr>
                  <w:tcW w:w="498" w:type="pct"/>
                  <w:tcBorders>
                    <w:top w:val="nil"/>
                    <w:left w:val="nil"/>
                    <w:bottom w:val="single" w:sz="8" w:space="0" w:color="E76618"/>
                    <w:right w:val="single" w:sz="8" w:space="0" w:color="E76618"/>
                  </w:tcBorders>
                  <w:shd w:val="clear" w:color="auto" w:fill="auto"/>
                  <w:vAlign w:val="center"/>
                  <w:hideMark/>
                </w:tcPr>
                <w:p w14:paraId="78E0E401"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12.9</w:t>
                  </w:r>
                </w:p>
              </w:tc>
              <w:tc>
                <w:tcPr>
                  <w:tcW w:w="624" w:type="pct"/>
                  <w:tcBorders>
                    <w:top w:val="nil"/>
                    <w:left w:val="nil"/>
                    <w:bottom w:val="single" w:sz="8" w:space="0" w:color="E76618"/>
                    <w:right w:val="single" w:sz="8" w:space="0" w:color="E76618"/>
                  </w:tcBorders>
                  <w:shd w:val="clear" w:color="auto" w:fill="auto"/>
                  <w:vAlign w:val="center"/>
                  <w:hideMark/>
                </w:tcPr>
                <w:p w14:paraId="6697EF19"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17.9</w:t>
                  </w:r>
                </w:p>
              </w:tc>
              <w:tc>
                <w:tcPr>
                  <w:tcW w:w="498" w:type="pct"/>
                  <w:tcBorders>
                    <w:top w:val="nil"/>
                    <w:left w:val="nil"/>
                    <w:bottom w:val="single" w:sz="8" w:space="0" w:color="E76618"/>
                    <w:right w:val="single" w:sz="8" w:space="0" w:color="E76618"/>
                  </w:tcBorders>
                  <w:shd w:val="clear" w:color="auto" w:fill="auto"/>
                  <w:vAlign w:val="center"/>
                  <w:hideMark/>
                </w:tcPr>
                <w:p w14:paraId="6DBC9248"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13.4</w:t>
                  </w:r>
                </w:p>
              </w:tc>
              <w:tc>
                <w:tcPr>
                  <w:tcW w:w="624" w:type="pct"/>
                  <w:tcBorders>
                    <w:top w:val="nil"/>
                    <w:left w:val="nil"/>
                    <w:bottom w:val="single" w:sz="8" w:space="0" w:color="E76618"/>
                    <w:right w:val="single" w:sz="8" w:space="0" w:color="E76618"/>
                  </w:tcBorders>
                  <w:shd w:val="clear" w:color="auto" w:fill="auto"/>
                  <w:vAlign w:val="center"/>
                  <w:hideMark/>
                </w:tcPr>
                <w:p w14:paraId="7644CC30"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11.9</w:t>
                  </w:r>
                </w:p>
              </w:tc>
            </w:tr>
            <w:tr w:rsidR="00174B5A" w:rsidRPr="008F10FA" w14:paraId="63FDCE1C" w14:textId="77777777" w:rsidTr="00347821">
              <w:trPr>
                <w:cantSplit/>
                <w:trHeight w:val="20"/>
              </w:trPr>
              <w:tc>
                <w:tcPr>
                  <w:tcW w:w="1634" w:type="pct"/>
                  <w:tcBorders>
                    <w:top w:val="nil"/>
                    <w:left w:val="single" w:sz="8" w:space="0" w:color="E76618"/>
                    <w:bottom w:val="single" w:sz="8" w:space="0" w:color="E76618"/>
                    <w:right w:val="single" w:sz="8" w:space="0" w:color="E76618"/>
                  </w:tcBorders>
                  <w:shd w:val="clear" w:color="auto" w:fill="auto"/>
                  <w:vAlign w:val="center"/>
                  <w:hideMark/>
                </w:tcPr>
                <w:p w14:paraId="4B55DED8" w14:textId="77777777" w:rsidR="00174B5A" w:rsidRPr="008F10FA" w:rsidRDefault="00174B5A" w:rsidP="00347821">
                  <w:pPr>
                    <w:spacing w:after="0" w:line="240" w:lineRule="auto"/>
                    <w:rPr>
                      <w:rFonts w:ascii="Arial" w:eastAsia="Times New Roman" w:hAnsi="Arial" w:cs="Arial"/>
                      <w:color w:val="000000"/>
                      <w:lang w:eastAsia="en-GB"/>
                    </w:rPr>
                  </w:pPr>
                  <w:r w:rsidRPr="008F10FA">
                    <w:rPr>
                      <w:rFonts w:ascii="Arial" w:eastAsia="Times New Roman" w:hAnsi="Arial" w:cs="Arial"/>
                      <w:bCs/>
                      <w:color w:val="000000"/>
                      <w:lang w:eastAsia="en-GB"/>
                    </w:rPr>
                    <w:t>g. £49,400 to £62,399 per year</w:t>
                  </w:r>
                </w:p>
              </w:tc>
              <w:tc>
                <w:tcPr>
                  <w:tcW w:w="498" w:type="pct"/>
                  <w:tcBorders>
                    <w:top w:val="nil"/>
                    <w:left w:val="nil"/>
                    <w:bottom w:val="single" w:sz="8" w:space="0" w:color="E76618"/>
                    <w:right w:val="single" w:sz="8" w:space="0" w:color="E76618"/>
                  </w:tcBorders>
                  <w:shd w:val="clear" w:color="auto" w:fill="auto"/>
                  <w:vAlign w:val="center"/>
                  <w:hideMark/>
                </w:tcPr>
                <w:p w14:paraId="3852CEF3"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11.4</w:t>
                  </w:r>
                </w:p>
              </w:tc>
              <w:tc>
                <w:tcPr>
                  <w:tcW w:w="624" w:type="pct"/>
                  <w:tcBorders>
                    <w:top w:val="nil"/>
                    <w:left w:val="nil"/>
                    <w:bottom w:val="single" w:sz="8" w:space="0" w:color="E76618"/>
                    <w:right w:val="single" w:sz="8" w:space="0" w:color="E76618"/>
                  </w:tcBorders>
                  <w:shd w:val="clear" w:color="auto" w:fill="auto"/>
                  <w:vAlign w:val="center"/>
                  <w:hideMark/>
                </w:tcPr>
                <w:p w14:paraId="5BDA08E2"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8.3</w:t>
                  </w:r>
                </w:p>
              </w:tc>
              <w:tc>
                <w:tcPr>
                  <w:tcW w:w="498" w:type="pct"/>
                  <w:tcBorders>
                    <w:top w:val="nil"/>
                    <w:left w:val="nil"/>
                    <w:bottom w:val="single" w:sz="8" w:space="0" w:color="E76618"/>
                    <w:right w:val="single" w:sz="8" w:space="0" w:color="E76618"/>
                  </w:tcBorders>
                  <w:shd w:val="clear" w:color="auto" w:fill="auto"/>
                  <w:vAlign w:val="center"/>
                  <w:hideMark/>
                </w:tcPr>
                <w:p w14:paraId="5693A050"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10.2</w:t>
                  </w:r>
                </w:p>
              </w:tc>
              <w:tc>
                <w:tcPr>
                  <w:tcW w:w="624" w:type="pct"/>
                  <w:tcBorders>
                    <w:top w:val="nil"/>
                    <w:left w:val="nil"/>
                    <w:bottom w:val="single" w:sz="8" w:space="0" w:color="E76618"/>
                    <w:right w:val="single" w:sz="8" w:space="0" w:color="E76618"/>
                  </w:tcBorders>
                  <w:shd w:val="clear" w:color="auto" w:fill="auto"/>
                  <w:vAlign w:val="center"/>
                  <w:hideMark/>
                </w:tcPr>
                <w:p w14:paraId="787A1193"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10.1</w:t>
                  </w:r>
                </w:p>
              </w:tc>
              <w:tc>
                <w:tcPr>
                  <w:tcW w:w="498" w:type="pct"/>
                  <w:tcBorders>
                    <w:top w:val="nil"/>
                    <w:left w:val="nil"/>
                    <w:bottom w:val="single" w:sz="8" w:space="0" w:color="E76618"/>
                    <w:right w:val="single" w:sz="8" w:space="0" w:color="E76618"/>
                  </w:tcBorders>
                  <w:shd w:val="clear" w:color="auto" w:fill="auto"/>
                  <w:vAlign w:val="center"/>
                  <w:hideMark/>
                </w:tcPr>
                <w:p w14:paraId="7E011F8C"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10.2</w:t>
                  </w:r>
                </w:p>
              </w:tc>
              <w:tc>
                <w:tcPr>
                  <w:tcW w:w="624" w:type="pct"/>
                  <w:tcBorders>
                    <w:top w:val="nil"/>
                    <w:left w:val="nil"/>
                    <w:bottom w:val="single" w:sz="8" w:space="0" w:color="E76618"/>
                    <w:right w:val="single" w:sz="8" w:space="0" w:color="E76618"/>
                  </w:tcBorders>
                  <w:shd w:val="clear" w:color="auto" w:fill="auto"/>
                  <w:vAlign w:val="center"/>
                  <w:hideMark/>
                </w:tcPr>
                <w:p w14:paraId="0C243479"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11.1</w:t>
                  </w:r>
                </w:p>
              </w:tc>
            </w:tr>
            <w:tr w:rsidR="00174B5A" w:rsidRPr="008F10FA" w14:paraId="11D0CB70" w14:textId="77777777" w:rsidTr="00347821">
              <w:trPr>
                <w:cantSplit/>
                <w:trHeight w:val="20"/>
              </w:trPr>
              <w:tc>
                <w:tcPr>
                  <w:tcW w:w="1634" w:type="pct"/>
                  <w:tcBorders>
                    <w:top w:val="nil"/>
                    <w:left w:val="single" w:sz="8" w:space="0" w:color="E76618"/>
                    <w:bottom w:val="single" w:sz="8" w:space="0" w:color="E76618"/>
                    <w:right w:val="single" w:sz="8" w:space="0" w:color="E76618"/>
                  </w:tcBorders>
                  <w:shd w:val="clear" w:color="auto" w:fill="auto"/>
                  <w:vAlign w:val="center"/>
                  <w:hideMark/>
                </w:tcPr>
                <w:p w14:paraId="1AD9054E" w14:textId="77777777" w:rsidR="00174B5A" w:rsidRPr="008F10FA" w:rsidRDefault="00174B5A" w:rsidP="00347821">
                  <w:pPr>
                    <w:spacing w:after="0" w:line="240" w:lineRule="auto"/>
                    <w:rPr>
                      <w:rFonts w:ascii="Arial" w:eastAsia="Times New Roman" w:hAnsi="Arial" w:cs="Arial"/>
                      <w:color w:val="000000"/>
                      <w:lang w:eastAsia="en-GB"/>
                    </w:rPr>
                  </w:pPr>
                  <w:r w:rsidRPr="008F10FA">
                    <w:rPr>
                      <w:rFonts w:ascii="Arial" w:eastAsia="Times New Roman" w:hAnsi="Arial" w:cs="Arial"/>
                      <w:bCs/>
                      <w:color w:val="000000"/>
                      <w:lang w:eastAsia="en-GB"/>
                    </w:rPr>
                    <w:t>h. £62,400 to £77,999 year</w:t>
                  </w:r>
                </w:p>
              </w:tc>
              <w:tc>
                <w:tcPr>
                  <w:tcW w:w="498" w:type="pct"/>
                  <w:tcBorders>
                    <w:top w:val="nil"/>
                    <w:left w:val="nil"/>
                    <w:bottom w:val="single" w:sz="8" w:space="0" w:color="E76618"/>
                    <w:right w:val="single" w:sz="8" w:space="0" w:color="E76618"/>
                  </w:tcBorders>
                  <w:shd w:val="clear" w:color="auto" w:fill="auto"/>
                  <w:vAlign w:val="center"/>
                  <w:hideMark/>
                </w:tcPr>
                <w:p w14:paraId="12AD41DA"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7.3</w:t>
                  </w:r>
                </w:p>
              </w:tc>
              <w:tc>
                <w:tcPr>
                  <w:tcW w:w="624" w:type="pct"/>
                  <w:tcBorders>
                    <w:top w:val="nil"/>
                    <w:left w:val="nil"/>
                    <w:bottom w:val="single" w:sz="8" w:space="0" w:color="E76618"/>
                    <w:right w:val="single" w:sz="8" w:space="0" w:color="E76618"/>
                  </w:tcBorders>
                  <w:shd w:val="clear" w:color="auto" w:fill="auto"/>
                  <w:vAlign w:val="center"/>
                  <w:hideMark/>
                </w:tcPr>
                <w:p w14:paraId="1BC40ABC"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3.7</w:t>
                  </w:r>
                </w:p>
              </w:tc>
              <w:tc>
                <w:tcPr>
                  <w:tcW w:w="498" w:type="pct"/>
                  <w:tcBorders>
                    <w:top w:val="nil"/>
                    <w:left w:val="nil"/>
                    <w:bottom w:val="single" w:sz="8" w:space="0" w:color="E76618"/>
                    <w:right w:val="single" w:sz="8" w:space="0" w:color="E76618"/>
                  </w:tcBorders>
                  <w:shd w:val="clear" w:color="auto" w:fill="auto"/>
                  <w:vAlign w:val="center"/>
                  <w:hideMark/>
                </w:tcPr>
                <w:p w14:paraId="4ADC8D29"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6.6</w:t>
                  </w:r>
                </w:p>
              </w:tc>
              <w:tc>
                <w:tcPr>
                  <w:tcW w:w="624" w:type="pct"/>
                  <w:tcBorders>
                    <w:top w:val="nil"/>
                    <w:left w:val="nil"/>
                    <w:bottom w:val="single" w:sz="8" w:space="0" w:color="E76618"/>
                    <w:right w:val="single" w:sz="8" w:space="0" w:color="E76618"/>
                  </w:tcBorders>
                  <w:shd w:val="clear" w:color="auto" w:fill="auto"/>
                  <w:vAlign w:val="center"/>
                  <w:hideMark/>
                </w:tcPr>
                <w:p w14:paraId="0A2046F3"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7.7</w:t>
                  </w:r>
                </w:p>
              </w:tc>
              <w:tc>
                <w:tcPr>
                  <w:tcW w:w="498" w:type="pct"/>
                  <w:tcBorders>
                    <w:top w:val="nil"/>
                    <w:left w:val="nil"/>
                    <w:bottom w:val="single" w:sz="8" w:space="0" w:color="E76618"/>
                    <w:right w:val="single" w:sz="8" w:space="0" w:color="E76618"/>
                  </w:tcBorders>
                  <w:shd w:val="clear" w:color="auto" w:fill="auto"/>
                  <w:vAlign w:val="center"/>
                  <w:hideMark/>
                </w:tcPr>
                <w:p w14:paraId="134E7EB8"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8.9</w:t>
                  </w:r>
                </w:p>
              </w:tc>
              <w:tc>
                <w:tcPr>
                  <w:tcW w:w="624" w:type="pct"/>
                  <w:tcBorders>
                    <w:top w:val="nil"/>
                    <w:left w:val="nil"/>
                    <w:bottom w:val="single" w:sz="8" w:space="0" w:color="E76618"/>
                    <w:right w:val="single" w:sz="8" w:space="0" w:color="E76618"/>
                  </w:tcBorders>
                  <w:shd w:val="clear" w:color="auto" w:fill="auto"/>
                  <w:vAlign w:val="center"/>
                  <w:hideMark/>
                </w:tcPr>
                <w:p w14:paraId="4560134A"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13.3</w:t>
                  </w:r>
                </w:p>
              </w:tc>
            </w:tr>
            <w:tr w:rsidR="00174B5A" w:rsidRPr="008F10FA" w14:paraId="233730CD" w14:textId="77777777" w:rsidTr="00347821">
              <w:trPr>
                <w:cantSplit/>
                <w:trHeight w:val="20"/>
              </w:trPr>
              <w:tc>
                <w:tcPr>
                  <w:tcW w:w="1634" w:type="pct"/>
                  <w:tcBorders>
                    <w:top w:val="nil"/>
                    <w:left w:val="single" w:sz="8" w:space="0" w:color="E76618"/>
                    <w:bottom w:val="single" w:sz="8" w:space="0" w:color="E76618"/>
                    <w:right w:val="single" w:sz="8" w:space="0" w:color="E76618"/>
                  </w:tcBorders>
                  <w:shd w:val="clear" w:color="auto" w:fill="000000" w:themeFill="text1"/>
                  <w:vAlign w:val="center"/>
                  <w:hideMark/>
                </w:tcPr>
                <w:p w14:paraId="12193B17" w14:textId="77777777" w:rsidR="00174B5A" w:rsidRPr="008F10FA" w:rsidRDefault="00174B5A" w:rsidP="00347821">
                  <w:pPr>
                    <w:spacing w:after="0" w:line="240" w:lineRule="auto"/>
                    <w:rPr>
                      <w:rFonts w:ascii="Arial" w:eastAsia="Times New Roman" w:hAnsi="Arial" w:cs="Arial"/>
                      <w:lang w:eastAsia="en-GB"/>
                    </w:rPr>
                  </w:pPr>
                  <w:proofErr w:type="spellStart"/>
                  <w:r w:rsidRPr="008F10FA">
                    <w:rPr>
                      <w:rFonts w:ascii="Arial" w:eastAsia="Times New Roman" w:hAnsi="Arial" w:cs="Arial"/>
                      <w:lang w:eastAsia="en-GB"/>
                    </w:rPr>
                    <w:t>i</w:t>
                  </w:r>
                  <w:proofErr w:type="spellEnd"/>
                  <w:r w:rsidRPr="008F10FA">
                    <w:rPr>
                      <w:rFonts w:ascii="Arial" w:eastAsia="Times New Roman" w:hAnsi="Arial" w:cs="Arial"/>
                      <w:lang w:eastAsia="en-GB"/>
                    </w:rPr>
                    <w:t>. £78,000 or more per year</w:t>
                  </w:r>
                </w:p>
              </w:tc>
              <w:tc>
                <w:tcPr>
                  <w:tcW w:w="498" w:type="pct"/>
                  <w:tcBorders>
                    <w:top w:val="nil"/>
                    <w:left w:val="nil"/>
                    <w:bottom w:val="single" w:sz="8" w:space="0" w:color="E76618"/>
                    <w:right w:val="single" w:sz="8" w:space="0" w:color="E76618"/>
                  </w:tcBorders>
                  <w:shd w:val="clear" w:color="auto" w:fill="000000" w:themeFill="text1"/>
                  <w:vAlign w:val="center"/>
                  <w:hideMark/>
                </w:tcPr>
                <w:p w14:paraId="6CFCAC0E" w14:textId="77777777" w:rsidR="00174B5A" w:rsidRPr="008F10FA" w:rsidRDefault="00174B5A" w:rsidP="00347821">
                  <w:pPr>
                    <w:spacing w:after="0" w:line="240" w:lineRule="auto"/>
                    <w:jc w:val="right"/>
                    <w:rPr>
                      <w:rFonts w:ascii="Arial" w:eastAsia="Times New Roman" w:hAnsi="Arial" w:cs="Arial"/>
                      <w:lang w:eastAsia="en-GB"/>
                    </w:rPr>
                  </w:pPr>
                  <w:r w:rsidRPr="008F10FA">
                    <w:rPr>
                      <w:rFonts w:ascii="Arial" w:eastAsia="Times New Roman" w:hAnsi="Arial" w:cs="Arial"/>
                      <w:lang w:eastAsia="en-GB"/>
                    </w:rPr>
                    <w:t>19.9</w:t>
                  </w:r>
                </w:p>
              </w:tc>
              <w:tc>
                <w:tcPr>
                  <w:tcW w:w="624" w:type="pct"/>
                  <w:tcBorders>
                    <w:top w:val="nil"/>
                    <w:left w:val="nil"/>
                    <w:bottom w:val="single" w:sz="8" w:space="0" w:color="E76618"/>
                    <w:right w:val="single" w:sz="8" w:space="0" w:color="E76618"/>
                  </w:tcBorders>
                  <w:shd w:val="clear" w:color="auto" w:fill="000000" w:themeFill="text1"/>
                  <w:vAlign w:val="center"/>
                  <w:hideMark/>
                </w:tcPr>
                <w:p w14:paraId="346198F6" w14:textId="77777777" w:rsidR="00174B5A" w:rsidRPr="008F10FA" w:rsidRDefault="00174B5A" w:rsidP="00347821">
                  <w:pPr>
                    <w:spacing w:after="0" w:line="240" w:lineRule="auto"/>
                    <w:jc w:val="right"/>
                    <w:rPr>
                      <w:rFonts w:ascii="Arial" w:eastAsia="Times New Roman" w:hAnsi="Arial" w:cs="Arial"/>
                      <w:lang w:eastAsia="en-GB"/>
                    </w:rPr>
                  </w:pPr>
                  <w:r w:rsidRPr="008F10FA">
                    <w:rPr>
                      <w:rFonts w:ascii="Arial" w:eastAsia="Times New Roman" w:hAnsi="Arial" w:cs="Arial"/>
                      <w:lang w:eastAsia="en-GB"/>
                    </w:rPr>
                    <w:t>39.8</w:t>
                  </w:r>
                </w:p>
              </w:tc>
              <w:tc>
                <w:tcPr>
                  <w:tcW w:w="498" w:type="pct"/>
                  <w:tcBorders>
                    <w:top w:val="nil"/>
                    <w:left w:val="nil"/>
                    <w:bottom w:val="single" w:sz="8" w:space="0" w:color="E76618"/>
                    <w:right w:val="single" w:sz="8" w:space="0" w:color="E76618"/>
                  </w:tcBorders>
                  <w:shd w:val="clear" w:color="auto" w:fill="000000" w:themeFill="text1"/>
                  <w:vAlign w:val="center"/>
                  <w:hideMark/>
                </w:tcPr>
                <w:p w14:paraId="1F35E338" w14:textId="77777777" w:rsidR="00174B5A" w:rsidRPr="008F10FA" w:rsidRDefault="00174B5A" w:rsidP="00347821">
                  <w:pPr>
                    <w:spacing w:after="0" w:line="240" w:lineRule="auto"/>
                    <w:jc w:val="right"/>
                    <w:rPr>
                      <w:rFonts w:ascii="Arial" w:eastAsia="Times New Roman" w:hAnsi="Arial" w:cs="Arial"/>
                      <w:lang w:eastAsia="en-GB"/>
                    </w:rPr>
                  </w:pPr>
                  <w:r w:rsidRPr="008F10FA">
                    <w:rPr>
                      <w:rFonts w:ascii="Arial" w:eastAsia="Times New Roman" w:hAnsi="Arial" w:cs="Arial"/>
                      <w:lang w:eastAsia="en-GB"/>
                    </w:rPr>
                    <w:t>16.9</w:t>
                  </w:r>
                </w:p>
              </w:tc>
              <w:tc>
                <w:tcPr>
                  <w:tcW w:w="624" w:type="pct"/>
                  <w:tcBorders>
                    <w:top w:val="nil"/>
                    <w:left w:val="nil"/>
                    <w:bottom w:val="single" w:sz="8" w:space="0" w:color="E76618"/>
                    <w:right w:val="single" w:sz="8" w:space="0" w:color="E76618"/>
                  </w:tcBorders>
                  <w:shd w:val="clear" w:color="auto" w:fill="000000" w:themeFill="text1"/>
                  <w:vAlign w:val="center"/>
                  <w:hideMark/>
                </w:tcPr>
                <w:p w14:paraId="715AAA9D" w14:textId="77777777" w:rsidR="00174B5A" w:rsidRPr="008F10FA" w:rsidRDefault="00174B5A" w:rsidP="00347821">
                  <w:pPr>
                    <w:spacing w:after="0" w:line="240" w:lineRule="auto"/>
                    <w:jc w:val="right"/>
                    <w:rPr>
                      <w:rFonts w:ascii="Arial" w:eastAsia="Times New Roman" w:hAnsi="Arial" w:cs="Arial"/>
                      <w:lang w:eastAsia="en-GB"/>
                    </w:rPr>
                  </w:pPr>
                  <w:r w:rsidRPr="008F10FA">
                    <w:rPr>
                      <w:rFonts w:ascii="Arial" w:eastAsia="Times New Roman" w:hAnsi="Arial" w:cs="Arial"/>
                      <w:lang w:eastAsia="en-GB"/>
                    </w:rPr>
                    <w:t>29.8</w:t>
                  </w:r>
                </w:p>
              </w:tc>
              <w:tc>
                <w:tcPr>
                  <w:tcW w:w="498" w:type="pct"/>
                  <w:tcBorders>
                    <w:top w:val="nil"/>
                    <w:left w:val="nil"/>
                    <w:bottom w:val="single" w:sz="8" w:space="0" w:color="E76618"/>
                    <w:right w:val="single" w:sz="8" w:space="0" w:color="E76618"/>
                  </w:tcBorders>
                  <w:shd w:val="clear" w:color="auto" w:fill="000000" w:themeFill="text1"/>
                  <w:vAlign w:val="center"/>
                  <w:hideMark/>
                </w:tcPr>
                <w:p w14:paraId="3E504FFB" w14:textId="77777777" w:rsidR="00174B5A" w:rsidRPr="008F10FA" w:rsidRDefault="00174B5A" w:rsidP="00347821">
                  <w:pPr>
                    <w:spacing w:after="0" w:line="240" w:lineRule="auto"/>
                    <w:jc w:val="right"/>
                    <w:rPr>
                      <w:rFonts w:ascii="Arial" w:eastAsia="Times New Roman" w:hAnsi="Arial" w:cs="Arial"/>
                      <w:lang w:eastAsia="en-GB"/>
                    </w:rPr>
                  </w:pPr>
                  <w:r w:rsidRPr="008F10FA">
                    <w:rPr>
                      <w:rFonts w:ascii="Arial" w:eastAsia="Times New Roman" w:hAnsi="Arial" w:cs="Arial"/>
                      <w:lang w:eastAsia="en-GB"/>
                    </w:rPr>
                    <w:t>21.7</w:t>
                  </w:r>
                </w:p>
              </w:tc>
              <w:tc>
                <w:tcPr>
                  <w:tcW w:w="624" w:type="pct"/>
                  <w:tcBorders>
                    <w:top w:val="nil"/>
                    <w:left w:val="nil"/>
                    <w:bottom w:val="single" w:sz="8" w:space="0" w:color="E76618"/>
                    <w:right w:val="single" w:sz="8" w:space="0" w:color="E76618"/>
                  </w:tcBorders>
                  <w:shd w:val="clear" w:color="auto" w:fill="000000" w:themeFill="text1"/>
                  <w:vAlign w:val="center"/>
                  <w:hideMark/>
                </w:tcPr>
                <w:p w14:paraId="2A192F45" w14:textId="77777777" w:rsidR="00174B5A" w:rsidRPr="008F10FA" w:rsidRDefault="00174B5A" w:rsidP="00347821">
                  <w:pPr>
                    <w:spacing w:after="0" w:line="240" w:lineRule="auto"/>
                    <w:jc w:val="right"/>
                    <w:rPr>
                      <w:rFonts w:ascii="Arial" w:eastAsia="Times New Roman" w:hAnsi="Arial" w:cs="Arial"/>
                      <w:lang w:eastAsia="en-GB"/>
                    </w:rPr>
                  </w:pPr>
                  <w:r w:rsidRPr="008F10FA">
                    <w:rPr>
                      <w:rFonts w:ascii="Arial" w:eastAsia="Times New Roman" w:hAnsi="Arial" w:cs="Arial"/>
                      <w:lang w:eastAsia="en-GB"/>
                    </w:rPr>
                    <w:t>37.8</w:t>
                  </w:r>
                </w:p>
              </w:tc>
            </w:tr>
            <w:tr w:rsidR="00174B5A" w:rsidRPr="008F10FA" w14:paraId="243D12A1" w14:textId="77777777" w:rsidTr="00347821">
              <w:trPr>
                <w:cantSplit/>
                <w:trHeight w:val="20"/>
              </w:trPr>
              <w:tc>
                <w:tcPr>
                  <w:tcW w:w="1634" w:type="pct"/>
                  <w:tcBorders>
                    <w:top w:val="nil"/>
                    <w:left w:val="single" w:sz="8" w:space="0" w:color="E76618"/>
                    <w:bottom w:val="single" w:sz="8" w:space="0" w:color="E76618"/>
                    <w:right w:val="single" w:sz="8" w:space="0" w:color="E76618"/>
                  </w:tcBorders>
                  <w:shd w:val="clear" w:color="auto" w:fill="auto"/>
                  <w:vAlign w:val="center"/>
                  <w:hideMark/>
                </w:tcPr>
                <w:p w14:paraId="1757EDEF" w14:textId="77777777" w:rsidR="00174B5A" w:rsidRPr="008F10FA" w:rsidRDefault="00174B5A" w:rsidP="00347821">
                  <w:pPr>
                    <w:spacing w:after="0" w:line="240" w:lineRule="auto"/>
                    <w:rPr>
                      <w:rFonts w:ascii="Arial" w:eastAsia="Times New Roman" w:hAnsi="Arial" w:cs="Arial"/>
                      <w:color w:val="000000"/>
                      <w:lang w:eastAsia="en-GB"/>
                    </w:rPr>
                  </w:pPr>
                  <w:r w:rsidRPr="008F10FA">
                    <w:rPr>
                      <w:rFonts w:ascii="Arial" w:eastAsia="Times New Roman" w:hAnsi="Arial" w:cs="Arial"/>
                      <w:bCs/>
                      <w:color w:val="000000"/>
                      <w:lang w:eastAsia="en-GB"/>
                    </w:rPr>
                    <w:t>j. Prefer not to say</w:t>
                  </w:r>
                </w:p>
              </w:tc>
              <w:tc>
                <w:tcPr>
                  <w:tcW w:w="498" w:type="pct"/>
                  <w:tcBorders>
                    <w:top w:val="nil"/>
                    <w:left w:val="nil"/>
                    <w:bottom w:val="single" w:sz="8" w:space="0" w:color="E76618"/>
                    <w:right w:val="single" w:sz="8" w:space="0" w:color="E76618"/>
                  </w:tcBorders>
                  <w:shd w:val="clear" w:color="auto" w:fill="auto"/>
                  <w:vAlign w:val="center"/>
                  <w:hideMark/>
                </w:tcPr>
                <w:p w14:paraId="234FABEA"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24.7</w:t>
                  </w:r>
                </w:p>
              </w:tc>
              <w:tc>
                <w:tcPr>
                  <w:tcW w:w="624" w:type="pct"/>
                  <w:tcBorders>
                    <w:top w:val="nil"/>
                    <w:left w:val="nil"/>
                    <w:bottom w:val="single" w:sz="8" w:space="0" w:color="E76618"/>
                    <w:right w:val="single" w:sz="8" w:space="0" w:color="E76618"/>
                  </w:tcBorders>
                  <w:shd w:val="clear" w:color="auto" w:fill="auto"/>
                  <w:vAlign w:val="center"/>
                  <w:hideMark/>
                </w:tcPr>
                <w:p w14:paraId="4282EB6D"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27.8</w:t>
                  </w:r>
                </w:p>
              </w:tc>
              <w:tc>
                <w:tcPr>
                  <w:tcW w:w="498" w:type="pct"/>
                  <w:tcBorders>
                    <w:top w:val="nil"/>
                    <w:left w:val="nil"/>
                    <w:bottom w:val="single" w:sz="8" w:space="0" w:color="E76618"/>
                    <w:right w:val="single" w:sz="8" w:space="0" w:color="E76618"/>
                  </w:tcBorders>
                  <w:shd w:val="clear" w:color="auto" w:fill="auto"/>
                  <w:vAlign w:val="center"/>
                  <w:hideMark/>
                </w:tcPr>
                <w:p w14:paraId="338E9003"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32.9</w:t>
                  </w:r>
                </w:p>
              </w:tc>
              <w:tc>
                <w:tcPr>
                  <w:tcW w:w="624" w:type="pct"/>
                  <w:tcBorders>
                    <w:top w:val="nil"/>
                    <w:left w:val="nil"/>
                    <w:bottom w:val="single" w:sz="8" w:space="0" w:color="E76618"/>
                    <w:right w:val="single" w:sz="8" w:space="0" w:color="E76618"/>
                  </w:tcBorders>
                  <w:shd w:val="clear" w:color="auto" w:fill="auto"/>
                  <w:vAlign w:val="center"/>
                  <w:hideMark/>
                </w:tcPr>
                <w:p w14:paraId="7F378DA4"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24.4</w:t>
                  </w:r>
                </w:p>
              </w:tc>
              <w:tc>
                <w:tcPr>
                  <w:tcW w:w="498" w:type="pct"/>
                  <w:tcBorders>
                    <w:top w:val="nil"/>
                    <w:left w:val="nil"/>
                    <w:bottom w:val="single" w:sz="8" w:space="0" w:color="E76618"/>
                    <w:right w:val="single" w:sz="8" w:space="0" w:color="E76618"/>
                  </w:tcBorders>
                  <w:shd w:val="clear" w:color="auto" w:fill="auto"/>
                  <w:vAlign w:val="center"/>
                  <w:hideMark/>
                </w:tcPr>
                <w:p w14:paraId="1141C285"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22.8</w:t>
                  </w:r>
                </w:p>
              </w:tc>
              <w:tc>
                <w:tcPr>
                  <w:tcW w:w="624" w:type="pct"/>
                  <w:tcBorders>
                    <w:top w:val="nil"/>
                    <w:left w:val="nil"/>
                    <w:bottom w:val="single" w:sz="8" w:space="0" w:color="E76618"/>
                    <w:right w:val="single" w:sz="8" w:space="0" w:color="E76618"/>
                  </w:tcBorders>
                  <w:shd w:val="clear" w:color="auto" w:fill="auto"/>
                  <w:vAlign w:val="center"/>
                  <w:hideMark/>
                </w:tcPr>
                <w:p w14:paraId="22D01833"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16.3</w:t>
                  </w:r>
                </w:p>
              </w:tc>
            </w:tr>
            <w:tr w:rsidR="00174B5A" w:rsidRPr="008F10FA" w14:paraId="4897B862" w14:textId="77777777" w:rsidTr="00347821">
              <w:trPr>
                <w:cantSplit/>
                <w:trHeight w:val="20"/>
              </w:trPr>
              <w:tc>
                <w:tcPr>
                  <w:tcW w:w="1634" w:type="pct"/>
                  <w:tcBorders>
                    <w:top w:val="nil"/>
                    <w:left w:val="single" w:sz="8" w:space="0" w:color="E76618"/>
                    <w:bottom w:val="single" w:sz="8" w:space="0" w:color="E76618"/>
                    <w:right w:val="single" w:sz="8" w:space="0" w:color="E76618"/>
                  </w:tcBorders>
                  <w:shd w:val="clear" w:color="auto" w:fill="auto"/>
                  <w:vAlign w:val="center"/>
                  <w:hideMark/>
                </w:tcPr>
                <w:p w14:paraId="56006382" w14:textId="77777777" w:rsidR="00174B5A" w:rsidRPr="008F10FA" w:rsidRDefault="00174B5A" w:rsidP="00347821">
                  <w:pPr>
                    <w:spacing w:after="0" w:line="240" w:lineRule="auto"/>
                    <w:rPr>
                      <w:rFonts w:ascii="Arial" w:eastAsia="Times New Roman" w:hAnsi="Arial" w:cs="Arial"/>
                      <w:color w:val="000000"/>
                      <w:lang w:eastAsia="en-GB"/>
                    </w:rPr>
                  </w:pPr>
                  <w:r w:rsidRPr="008F10FA">
                    <w:rPr>
                      <w:rFonts w:ascii="Arial" w:eastAsia="Times New Roman" w:hAnsi="Arial" w:cs="Arial"/>
                      <w:bCs/>
                      <w:color w:val="000000"/>
                      <w:lang w:eastAsia="en-GB"/>
                    </w:rPr>
                    <w:t>All</w:t>
                  </w:r>
                </w:p>
              </w:tc>
              <w:tc>
                <w:tcPr>
                  <w:tcW w:w="498" w:type="pct"/>
                  <w:tcBorders>
                    <w:top w:val="nil"/>
                    <w:left w:val="nil"/>
                    <w:bottom w:val="single" w:sz="8" w:space="0" w:color="E76618"/>
                    <w:right w:val="single" w:sz="8" w:space="0" w:color="E76618"/>
                  </w:tcBorders>
                  <w:shd w:val="clear" w:color="auto" w:fill="auto"/>
                  <w:vAlign w:val="center"/>
                  <w:hideMark/>
                </w:tcPr>
                <w:p w14:paraId="67F654D5"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100</w:t>
                  </w:r>
                </w:p>
              </w:tc>
              <w:tc>
                <w:tcPr>
                  <w:tcW w:w="624" w:type="pct"/>
                  <w:tcBorders>
                    <w:top w:val="nil"/>
                    <w:left w:val="nil"/>
                    <w:bottom w:val="single" w:sz="8" w:space="0" w:color="E76618"/>
                    <w:right w:val="single" w:sz="8" w:space="0" w:color="E76618"/>
                  </w:tcBorders>
                  <w:shd w:val="clear" w:color="auto" w:fill="auto"/>
                  <w:vAlign w:val="center"/>
                  <w:hideMark/>
                </w:tcPr>
                <w:p w14:paraId="70214AB7"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100</w:t>
                  </w:r>
                </w:p>
              </w:tc>
              <w:tc>
                <w:tcPr>
                  <w:tcW w:w="498" w:type="pct"/>
                  <w:tcBorders>
                    <w:top w:val="nil"/>
                    <w:left w:val="nil"/>
                    <w:bottom w:val="single" w:sz="8" w:space="0" w:color="E76618"/>
                    <w:right w:val="single" w:sz="8" w:space="0" w:color="E76618"/>
                  </w:tcBorders>
                  <w:shd w:val="clear" w:color="auto" w:fill="auto"/>
                  <w:vAlign w:val="center"/>
                  <w:hideMark/>
                </w:tcPr>
                <w:p w14:paraId="483C386E"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100</w:t>
                  </w:r>
                </w:p>
              </w:tc>
              <w:tc>
                <w:tcPr>
                  <w:tcW w:w="624" w:type="pct"/>
                  <w:tcBorders>
                    <w:top w:val="nil"/>
                    <w:left w:val="nil"/>
                    <w:bottom w:val="single" w:sz="8" w:space="0" w:color="E76618"/>
                    <w:right w:val="single" w:sz="8" w:space="0" w:color="E76618"/>
                  </w:tcBorders>
                  <w:shd w:val="clear" w:color="auto" w:fill="auto"/>
                  <w:vAlign w:val="center"/>
                  <w:hideMark/>
                </w:tcPr>
                <w:p w14:paraId="494DA7CE"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100</w:t>
                  </w:r>
                </w:p>
              </w:tc>
              <w:tc>
                <w:tcPr>
                  <w:tcW w:w="498" w:type="pct"/>
                  <w:tcBorders>
                    <w:top w:val="nil"/>
                    <w:left w:val="nil"/>
                    <w:bottom w:val="single" w:sz="8" w:space="0" w:color="E76618"/>
                    <w:right w:val="single" w:sz="8" w:space="0" w:color="E76618"/>
                  </w:tcBorders>
                  <w:shd w:val="clear" w:color="auto" w:fill="auto"/>
                  <w:vAlign w:val="center"/>
                  <w:hideMark/>
                </w:tcPr>
                <w:p w14:paraId="432B6D7E"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100</w:t>
                  </w:r>
                </w:p>
              </w:tc>
              <w:tc>
                <w:tcPr>
                  <w:tcW w:w="624" w:type="pct"/>
                  <w:tcBorders>
                    <w:top w:val="nil"/>
                    <w:left w:val="nil"/>
                    <w:bottom w:val="single" w:sz="8" w:space="0" w:color="E76618"/>
                    <w:right w:val="single" w:sz="8" w:space="0" w:color="E76618"/>
                  </w:tcBorders>
                  <w:shd w:val="clear" w:color="auto" w:fill="auto"/>
                  <w:vAlign w:val="center"/>
                  <w:hideMark/>
                </w:tcPr>
                <w:p w14:paraId="74144493" w14:textId="77777777" w:rsidR="00174B5A" w:rsidRPr="008F10FA" w:rsidRDefault="00174B5A" w:rsidP="00347821">
                  <w:pPr>
                    <w:spacing w:after="0" w:line="240" w:lineRule="auto"/>
                    <w:jc w:val="right"/>
                    <w:rPr>
                      <w:rFonts w:ascii="Arial" w:eastAsia="Times New Roman" w:hAnsi="Arial" w:cs="Arial"/>
                      <w:color w:val="000000"/>
                      <w:lang w:eastAsia="en-GB"/>
                    </w:rPr>
                  </w:pPr>
                  <w:r w:rsidRPr="008F10FA">
                    <w:rPr>
                      <w:rFonts w:ascii="Arial" w:eastAsia="Times New Roman" w:hAnsi="Arial" w:cs="Arial"/>
                      <w:color w:val="000000"/>
                      <w:lang w:eastAsia="en-GB"/>
                    </w:rPr>
                    <w:t>100</w:t>
                  </w:r>
                </w:p>
              </w:tc>
            </w:tr>
          </w:tbl>
          <w:p w14:paraId="7F89608A" w14:textId="77777777" w:rsidR="00174B5A" w:rsidRPr="00CE3AF2" w:rsidRDefault="00174B5A" w:rsidP="00347821">
            <w:pPr>
              <w:spacing w:after="0" w:line="240" w:lineRule="auto"/>
              <w:jc w:val="center"/>
              <w:rPr>
                <w:rFonts w:ascii="Arial" w:hAnsi="Arial" w:cs="Arial"/>
                <w:bCs/>
                <w:sz w:val="16"/>
                <w:szCs w:val="16"/>
              </w:rPr>
            </w:pPr>
          </w:p>
        </w:tc>
        <w:tc>
          <w:tcPr>
            <w:tcW w:w="113" w:type="pct"/>
            <w:shd w:val="clear" w:color="auto" w:fill="auto"/>
          </w:tcPr>
          <w:p w14:paraId="54497F46" w14:textId="77777777" w:rsidR="00174B5A" w:rsidRPr="00CE3AF2" w:rsidRDefault="00174B5A" w:rsidP="00347821">
            <w:pPr>
              <w:spacing w:after="0" w:line="240" w:lineRule="auto"/>
              <w:rPr>
                <w:rFonts w:ascii="Arial" w:hAnsi="Arial" w:cs="Arial"/>
                <w:bCs/>
                <w:sz w:val="16"/>
                <w:szCs w:val="16"/>
              </w:rPr>
            </w:pPr>
          </w:p>
        </w:tc>
      </w:tr>
    </w:tbl>
    <w:p w14:paraId="1C91681E" w14:textId="77777777" w:rsidR="00174B5A" w:rsidRDefault="00174B5A" w:rsidP="00174B5A">
      <w:pPr>
        <w:spacing w:after="0" w:line="240" w:lineRule="auto"/>
        <w:jc w:val="center"/>
        <w:rPr>
          <w:rFonts w:ascii="Arial" w:hAnsi="Arial" w:cs="Arial"/>
          <w:sz w:val="24"/>
          <w:szCs w:val="24"/>
        </w:rPr>
      </w:pPr>
    </w:p>
    <w:p w14:paraId="11540E4F" w14:textId="77777777" w:rsidR="00174B5A" w:rsidRDefault="00174B5A" w:rsidP="00174B5A">
      <w:pPr>
        <w:spacing w:after="0" w:line="240" w:lineRule="auto"/>
        <w:jc w:val="center"/>
        <w:rPr>
          <w:rFonts w:ascii="Arial" w:hAnsi="Arial" w:cs="Arial"/>
          <w:sz w:val="24"/>
          <w:szCs w:val="24"/>
        </w:rPr>
      </w:pPr>
      <w:r>
        <w:rPr>
          <w:noProof/>
        </w:rPr>
        <w:lastRenderedPageBreak/>
        <w:drawing>
          <wp:inline distT="0" distB="0" distL="0" distR="0" wp14:anchorId="0BEF8AAD" wp14:editId="29A49D8A">
            <wp:extent cx="4974771" cy="2868385"/>
            <wp:effectExtent l="0" t="0" r="16510" b="8255"/>
            <wp:docPr id="4" name="Chart 4">
              <a:extLst xmlns:a="http://schemas.openxmlformats.org/drawingml/2006/main">
                <a:ext uri="{FF2B5EF4-FFF2-40B4-BE49-F238E27FC236}">
                  <a16:creationId xmlns:a16="http://schemas.microsoft.com/office/drawing/2014/main" id="{3A3EC6CB-DAFF-41FB-A94F-FF4DFEE72E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0B5A425" w14:textId="77777777" w:rsidR="00174B5A" w:rsidRDefault="00174B5A" w:rsidP="00174B5A">
      <w:pPr>
        <w:spacing w:after="0" w:line="240" w:lineRule="auto"/>
        <w:rPr>
          <w:rFonts w:ascii="Arial" w:hAnsi="Arial" w:cs="Arial"/>
          <w:szCs w:val="24"/>
        </w:rPr>
      </w:pPr>
    </w:p>
    <w:p w14:paraId="3367092B" w14:textId="563F14C3" w:rsidR="00174B5A" w:rsidRDefault="00174B5A" w:rsidP="00174B5A">
      <w:pPr>
        <w:spacing w:after="0" w:line="240" w:lineRule="auto"/>
        <w:rPr>
          <w:rFonts w:ascii="Arial" w:hAnsi="Arial" w:cs="Arial"/>
          <w:sz w:val="24"/>
          <w:szCs w:val="24"/>
        </w:rPr>
      </w:pPr>
      <w:r w:rsidRPr="00FC0986">
        <w:rPr>
          <w:rFonts w:ascii="Arial" w:hAnsi="Arial" w:cs="Arial"/>
          <w:sz w:val="24"/>
          <w:szCs w:val="24"/>
        </w:rPr>
        <w:t xml:space="preserve">The Scottish Government publication </w:t>
      </w:r>
      <w:hyperlink r:id="rId8" w:history="1">
        <w:r w:rsidRPr="00FC0986">
          <w:rPr>
            <w:rStyle w:val="Hyperlink"/>
            <w:rFonts w:ascii="Arial" w:hAnsi="Arial" w:cs="Arial"/>
            <w:i/>
            <w:iCs/>
            <w:sz w:val="24"/>
            <w:szCs w:val="24"/>
          </w:rPr>
          <w:t>Poverty and income inequality in Scotland: 2016-2019</w:t>
        </w:r>
      </w:hyperlink>
      <w:r w:rsidRPr="00FC0986">
        <w:rPr>
          <w:rFonts w:ascii="Arial" w:hAnsi="Arial" w:cs="Arial"/>
          <w:sz w:val="24"/>
          <w:szCs w:val="24"/>
        </w:rPr>
        <w:t xml:space="preserve"> gives the median weekly household income figure as £517 per week, equivalent to £26,884 per annum. This means that, in 2019, roughly </w:t>
      </w:r>
      <w:r w:rsidR="00231275">
        <w:rPr>
          <w:rFonts w:ascii="Arial" w:hAnsi="Arial" w:cs="Arial"/>
          <w:sz w:val="24"/>
          <w:szCs w:val="24"/>
        </w:rPr>
        <w:t>36</w:t>
      </w:r>
      <w:r w:rsidRPr="00FC0986">
        <w:rPr>
          <w:rFonts w:ascii="Arial" w:hAnsi="Arial" w:cs="Arial"/>
          <w:sz w:val="24"/>
          <w:szCs w:val="24"/>
        </w:rPr>
        <w:t xml:space="preserve">% of applicants and </w:t>
      </w:r>
      <w:r w:rsidR="00231275">
        <w:rPr>
          <w:rFonts w:ascii="Arial" w:hAnsi="Arial" w:cs="Arial"/>
          <w:sz w:val="24"/>
          <w:szCs w:val="24"/>
        </w:rPr>
        <w:t>22</w:t>
      </w:r>
      <w:r w:rsidRPr="00FC0986">
        <w:rPr>
          <w:rFonts w:ascii="Arial" w:hAnsi="Arial" w:cs="Arial"/>
          <w:sz w:val="24"/>
          <w:szCs w:val="24"/>
        </w:rPr>
        <w:t xml:space="preserve">% of appointees had household incomes </w:t>
      </w:r>
      <w:r w:rsidR="00231275">
        <w:rPr>
          <w:rFonts w:ascii="Arial" w:hAnsi="Arial" w:cs="Arial"/>
          <w:sz w:val="24"/>
          <w:szCs w:val="24"/>
        </w:rPr>
        <w:t>below</w:t>
      </w:r>
      <w:r w:rsidRPr="00FC0986">
        <w:rPr>
          <w:rFonts w:ascii="Arial" w:hAnsi="Arial" w:cs="Arial"/>
          <w:sz w:val="24"/>
          <w:szCs w:val="24"/>
        </w:rPr>
        <w:t xml:space="preserve"> the median. It is also apparent that in this and in previous years, those with household incomes in excess of £78,000 per year, the top 5% of earners in the UK according to HMRC estimates, are far more likely to be appointed than others who have applied. </w:t>
      </w:r>
      <w:bookmarkEnd w:id="1"/>
    </w:p>
    <w:p w14:paraId="12D7756A" w14:textId="77777777" w:rsidR="00174B5A" w:rsidRDefault="00174B5A" w:rsidP="00174B5A">
      <w:pPr>
        <w:spacing w:after="0" w:line="240" w:lineRule="auto"/>
        <w:rPr>
          <w:rFonts w:ascii="Arial" w:hAnsi="Arial" w:cs="Arial"/>
          <w:sz w:val="24"/>
          <w:szCs w:val="24"/>
        </w:rPr>
      </w:pPr>
    </w:p>
    <w:p w14:paraId="6EC01F39" w14:textId="77777777" w:rsidR="00174B5A" w:rsidRDefault="00174B5A" w:rsidP="00174B5A">
      <w:pPr>
        <w:spacing w:after="0" w:line="240" w:lineRule="auto"/>
        <w:rPr>
          <w:rFonts w:ascii="Arial" w:hAnsi="Arial" w:cs="Arial"/>
          <w:sz w:val="24"/>
          <w:szCs w:val="24"/>
        </w:rPr>
      </w:pPr>
      <w:r>
        <w:rPr>
          <w:rFonts w:ascii="Arial" w:hAnsi="Arial" w:cs="Arial"/>
          <w:sz w:val="24"/>
          <w:szCs w:val="24"/>
        </w:rPr>
        <w:t>Although there is no exact national comparator for the distribution of the population sitting in each of these income bands, the following extract from the same Scottish Government publication provides information on the proportion of the population in each of the ten income decile groups.</w:t>
      </w:r>
    </w:p>
    <w:p w14:paraId="5B7AC4FE" w14:textId="77777777" w:rsidR="00174B5A" w:rsidRDefault="00174B5A" w:rsidP="00174B5A">
      <w:pPr>
        <w:spacing w:after="0" w:line="240" w:lineRule="auto"/>
        <w:rPr>
          <w:rFonts w:ascii="Arial" w:hAnsi="Arial" w:cs="Arial"/>
          <w:sz w:val="24"/>
          <w:szCs w:val="24"/>
        </w:rPr>
      </w:pPr>
    </w:p>
    <w:p w14:paraId="0FE424B6" w14:textId="77777777" w:rsidR="00174B5A" w:rsidRDefault="00174B5A" w:rsidP="00174B5A">
      <w:pPr>
        <w:spacing w:after="0" w:line="240" w:lineRule="auto"/>
        <w:rPr>
          <w:rFonts w:ascii="Arial" w:hAnsi="Arial" w:cs="Arial"/>
          <w:sz w:val="24"/>
          <w:szCs w:val="24"/>
        </w:rPr>
      </w:pPr>
      <w:r>
        <w:rPr>
          <w:noProof/>
        </w:rPr>
        <w:drawing>
          <wp:inline distT="0" distB="0" distL="0" distR="0" wp14:anchorId="62217876" wp14:editId="39172833">
            <wp:extent cx="6344839" cy="223157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763" t="28614" r="7459" b="17125"/>
                    <a:stretch/>
                  </pic:blipFill>
                  <pic:spPr bwMode="auto">
                    <a:xfrm>
                      <a:off x="0" y="0"/>
                      <a:ext cx="6439111" cy="2264729"/>
                    </a:xfrm>
                    <a:prstGeom prst="rect">
                      <a:avLst/>
                    </a:prstGeom>
                    <a:ln>
                      <a:noFill/>
                    </a:ln>
                    <a:extLst>
                      <a:ext uri="{53640926-AAD7-44D8-BBD7-CCE9431645EC}">
                        <a14:shadowObscured xmlns:a14="http://schemas.microsoft.com/office/drawing/2010/main"/>
                      </a:ext>
                    </a:extLst>
                  </pic:spPr>
                </pic:pic>
              </a:graphicData>
            </a:graphic>
          </wp:inline>
        </w:drawing>
      </w:r>
    </w:p>
    <w:p w14:paraId="3E6104D4" w14:textId="77777777" w:rsidR="00174B5A" w:rsidRDefault="00174B5A" w:rsidP="00174B5A">
      <w:pPr>
        <w:spacing w:after="0" w:line="240" w:lineRule="auto"/>
        <w:rPr>
          <w:rFonts w:ascii="Arial" w:hAnsi="Arial" w:cs="Arial"/>
          <w:sz w:val="24"/>
          <w:szCs w:val="24"/>
        </w:rPr>
      </w:pPr>
    </w:p>
    <w:p w14:paraId="2B030106" w14:textId="77777777" w:rsidR="00174B5A" w:rsidRPr="00FC0986" w:rsidRDefault="00174B5A" w:rsidP="00174B5A">
      <w:pPr>
        <w:spacing w:after="0" w:line="240" w:lineRule="auto"/>
        <w:rPr>
          <w:rFonts w:ascii="Arial" w:hAnsi="Arial" w:cs="Arial"/>
          <w:sz w:val="24"/>
          <w:szCs w:val="24"/>
        </w:rPr>
      </w:pPr>
    </w:p>
    <w:p w14:paraId="2B72B186" w14:textId="77777777" w:rsidR="00174B5A" w:rsidRPr="003D6DE7" w:rsidRDefault="00174B5A" w:rsidP="006D126A">
      <w:pPr>
        <w:pStyle w:val="NoSpacing"/>
        <w:rPr>
          <w:rFonts w:ascii="Arial" w:hAnsi="Arial" w:cs="Arial"/>
          <w:sz w:val="24"/>
          <w:szCs w:val="24"/>
        </w:rPr>
      </w:pPr>
    </w:p>
    <w:sectPr w:rsidR="00174B5A" w:rsidRPr="003D6D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22EA7"/>
    <w:multiLevelType w:val="hybridMultilevel"/>
    <w:tmpl w:val="02A86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26A"/>
    <w:rsid w:val="00110A63"/>
    <w:rsid w:val="00170C81"/>
    <w:rsid w:val="00174B5A"/>
    <w:rsid w:val="001D7F45"/>
    <w:rsid w:val="0021160A"/>
    <w:rsid w:val="00212319"/>
    <w:rsid w:val="00231275"/>
    <w:rsid w:val="00241D13"/>
    <w:rsid w:val="002B1799"/>
    <w:rsid w:val="00347821"/>
    <w:rsid w:val="003D06B0"/>
    <w:rsid w:val="003D54A6"/>
    <w:rsid w:val="003D6DE7"/>
    <w:rsid w:val="004B1692"/>
    <w:rsid w:val="005B51E2"/>
    <w:rsid w:val="005C717A"/>
    <w:rsid w:val="00653D6A"/>
    <w:rsid w:val="006D126A"/>
    <w:rsid w:val="006E36A1"/>
    <w:rsid w:val="00704E74"/>
    <w:rsid w:val="00712A6E"/>
    <w:rsid w:val="007864CB"/>
    <w:rsid w:val="007B709A"/>
    <w:rsid w:val="007F79C7"/>
    <w:rsid w:val="00810FBB"/>
    <w:rsid w:val="0084313B"/>
    <w:rsid w:val="008761C8"/>
    <w:rsid w:val="009B4671"/>
    <w:rsid w:val="00A1284C"/>
    <w:rsid w:val="00A70A32"/>
    <w:rsid w:val="00AD646B"/>
    <w:rsid w:val="00BA49D7"/>
    <w:rsid w:val="00C13D93"/>
    <w:rsid w:val="00C46FDB"/>
    <w:rsid w:val="00C679CF"/>
    <w:rsid w:val="00D079CB"/>
    <w:rsid w:val="00DB0D82"/>
    <w:rsid w:val="00DF423F"/>
    <w:rsid w:val="00E31528"/>
    <w:rsid w:val="00E35912"/>
    <w:rsid w:val="00E5788F"/>
    <w:rsid w:val="00EE05CD"/>
    <w:rsid w:val="00F51E29"/>
    <w:rsid w:val="00F7327A"/>
    <w:rsid w:val="00FA0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6538F"/>
  <w15:chartTrackingRefBased/>
  <w15:docId w15:val="{1B74A9E4-B78E-40E1-A9EF-FA90C44B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26A"/>
    <w:pPr>
      <w:spacing w:after="0" w:line="240" w:lineRule="auto"/>
    </w:pPr>
  </w:style>
  <w:style w:type="table" w:styleId="TableGrid">
    <w:name w:val="Table Grid"/>
    <w:basedOn w:val="TableNormal"/>
    <w:uiPriority w:val="39"/>
    <w:rsid w:val="004B1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4B5A"/>
    <w:rPr>
      <w:color w:val="0563C1" w:themeColor="hyperlink"/>
      <w:u w:val="single"/>
    </w:rPr>
  </w:style>
  <w:style w:type="character" w:styleId="UnresolvedMention">
    <w:name w:val="Unresolved Mention"/>
    <w:basedOn w:val="DefaultParagraphFont"/>
    <w:uiPriority w:val="99"/>
    <w:semiHidden/>
    <w:unhideWhenUsed/>
    <w:rsid w:val="00347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442540">
      <w:bodyDiv w:val="1"/>
      <w:marLeft w:val="0"/>
      <w:marRight w:val="0"/>
      <w:marTop w:val="0"/>
      <w:marBottom w:val="0"/>
      <w:divBdr>
        <w:top w:val="none" w:sz="0" w:space="0" w:color="auto"/>
        <w:left w:val="none" w:sz="0" w:space="0" w:color="auto"/>
        <w:bottom w:val="none" w:sz="0" w:space="0" w:color="auto"/>
        <w:right w:val="none" w:sz="0" w:space="0" w:color="auto"/>
      </w:divBdr>
    </w:div>
    <w:div w:id="142792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publications/poverty-income-inequality-scotland-2016-19/" TargetMode="Externa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svr-file01\Appointments\Monitoring%20of%20the%20Code\2013%20Code\Parliamentary%20Committee%20Reports\2020-05-04%20ESC%20application%20and%20appointments%20cha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vr-file01\Appointments\Monitoring%20of%20the%20Code\2013%20Code\Parliamentary%20Committee%20Reports\2020-05-21%20ESC%20application%20and%20appointments%20charts%20updat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vr-file01\Appointments\Monitoring%20of%20the%20Code\2013%20Code\Parliamentary%20Committee%20Reports\2020-05-21%20ESC%20application%20and%20appointments%20charts%20updated.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100">
                <a:latin typeface="Arial" panose="020B0604020202020204" pitchFamily="34" charset="0"/>
                <a:cs typeface="Arial" panose="020B0604020202020204" pitchFamily="34" charset="0"/>
              </a:rPr>
              <a:t>Performance against Diversity Delivers Targets 2019</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1"/>
          <c:order val="1"/>
          <c:tx>
            <c:strRef>
              <c:f>'Applctns and appntmnts 2019'!$C$1</c:f>
              <c:strCache>
                <c:ptCount val="1"/>
                <c:pt idx="0">
                  <c:v>%age applications</c:v>
                </c:pt>
              </c:strCache>
            </c:strRef>
          </c:tx>
          <c:spPr>
            <a:solidFill>
              <a:schemeClr val="accent2"/>
            </a:solidFill>
            <a:ln>
              <a:solidFill>
                <a:schemeClr val="tx1"/>
              </a:solidFill>
            </a:ln>
            <a:effectLst/>
          </c:spPr>
          <c:invertIfNegative val="0"/>
          <c:cat>
            <c:strRef>
              <c:f>'Applctns and appntmnts 2019'!$A$2:$A$7</c:f>
              <c:strCache>
                <c:ptCount val="6"/>
                <c:pt idx="0">
                  <c:v>Female</c:v>
                </c:pt>
                <c:pt idx="1">
                  <c:v>Disabled</c:v>
                </c:pt>
                <c:pt idx="2">
                  <c:v>Black and minority ethnic (visible)</c:v>
                </c:pt>
                <c:pt idx="3">
                  <c:v>Black and minority ethnic (non-visible)</c:v>
                </c:pt>
                <c:pt idx="4">
                  <c:v>Aged 49 and under</c:v>
                </c:pt>
                <c:pt idx="5">
                  <c:v>Lesbian, gay, bisexual or other sexuality </c:v>
                </c:pt>
              </c:strCache>
            </c:strRef>
          </c:cat>
          <c:val>
            <c:numRef>
              <c:f>'Applctns and appntmnts 2019'!$C$2:$C$7</c:f>
              <c:numCache>
                <c:formatCode>General</c:formatCode>
                <c:ptCount val="6"/>
                <c:pt idx="0">
                  <c:v>42.9</c:v>
                </c:pt>
                <c:pt idx="1">
                  <c:v>12.9</c:v>
                </c:pt>
                <c:pt idx="2">
                  <c:v>8.6999999999999993</c:v>
                </c:pt>
                <c:pt idx="3">
                  <c:v>6.3</c:v>
                </c:pt>
                <c:pt idx="4">
                  <c:v>30.8</c:v>
                </c:pt>
                <c:pt idx="5">
                  <c:v>4.9000000000000004</c:v>
                </c:pt>
              </c:numCache>
            </c:numRef>
          </c:val>
          <c:extLst>
            <c:ext xmlns:c16="http://schemas.microsoft.com/office/drawing/2014/chart" uri="{C3380CC4-5D6E-409C-BE32-E72D297353CC}">
              <c16:uniqueId val="{00000000-A1E0-4CE6-B3B9-0E943C5017CE}"/>
            </c:ext>
          </c:extLst>
        </c:ser>
        <c:ser>
          <c:idx val="2"/>
          <c:order val="2"/>
          <c:tx>
            <c:strRef>
              <c:f>'Applctns and appntmnts 2019'!$D$1</c:f>
              <c:strCache>
                <c:ptCount val="1"/>
                <c:pt idx="0">
                  <c:v>%age eventual appointments</c:v>
                </c:pt>
              </c:strCache>
            </c:strRef>
          </c:tx>
          <c:spPr>
            <a:solidFill>
              <a:schemeClr val="accent3"/>
            </a:solidFill>
            <a:ln>
              <a:solidFill>
                <a:schemeClr val="tx1"/>
              </a:solidFill>
            </a:ln>
            <a:effectLst/>
          </c:spPr>
          <c:invertIfNegative val="0"/>
          <c:cat>
            <c:strRef>
              <c:f>'Applctns and appntmnts 2019'!$A$2:$A$7</c:f>
              <c:strCache>
                <c:ptCount val="6"/>
                <c:pt idx="0">
                  <c:v>Female</c:v>
                </c:pt>
                <c:pt idx="1">
                  <c:v>Disabled</c:v>
                </c:pt>
                <c:pt idx="2">
                  <c:v>Black and minority ethnic (visible)</c:v>
                </c:pt>
                <c:pt idx="3">
                  <c:v>Black and minority ethnic (non-visible)</c:v>
                </c:pt>
                <c:pt idx="4">
                  <c:v>Aged 49 and under</c:v>
                </c:pt>
                <c:pt idx="5">
                  <c:v>Lesbian, gay, bisexual or other sexuality </c:v>
                </c:pt>
              </c:strCache>
            </c:strRef>
          </c:cat>
          <c:val>
            <c:numRef>
              <c:f>'Applctns and appntmnts 2019'!$D$2:$D$7</c:f>
              <c:numCache>
                <c:formatCode>General</c:formatCode>
                <c:ptCount val="6"/>
                <c:pt idx="0">
                  <c:v>48.1</c:v>
                </c:pt>
                <c:pt idx="1">
                  <c:v>11.9</c:v>
                </c:pt>
                <c:pt idx="2">
                  <c:v>5.9</c:v>
                </c:pt>
                <c:pt idx="3">
                  <c:v>5.9</c:v>
                </c:pt>
                <c:pt idx="4">
                  <c:v>27.4</c:v>
                </c:pt>
                <c:pt idx="5">
                  <c:v>3.7</c:v>
                </c:pt>
              </c:numCache>
            </c:numRef>
          </c:val>
          <c:extLst>
            <c:ext xmlns:c16="http://schemas.microsoft.com/office/drawing/2014/chart" uri="{C3380CC4-5D6E-409C-BE32-E72D297353CC}">
              <c16:uniqueId val="{00000001-A1E0-4CE6-B3B9-0E943C5017CE}"/>
            </c:ext>
          </c:extLst>
        </c:ser>
        <c:dLbls>
          <c:showLegendKey val="0"/>
          <c:showVal val="0"/>
          <c:showCatName val="0"/>
          <c:showSerName val="0"/>
          <c:showPercent val="0"/>
          <c:showBubbleSize val="0"/>
        </c:dLbls>
        <c:gapWidth val="219"/>
        <c:axId val="675556488"/>
        <c:axId val="675557800"/>
      </c:barChart>
      <c:lineChart>
        <c:grouping val="standard"/>
        <c:varyColors val="0"/>
        <c:ser>
          <c:idx val="0"/>
          <c:order val="0"/>
          <c:tx>
            <c:strRef>
              <c:f>'Applctns and appntmnts 2019'!$B$1</c:f>
              <c:strCache>
                <c:ptCount val="1"/>
                <c:pt idx="0">
                  <c:v>%age target</c:v>
                </c:pt>
              </c:strCache>
            </c:strRef>
          </c:tx>
          <c:spPr>
            <a:ln w="28575" cap="rnd">
              <a:solidFill>
                <a:schemeClr val="accent6">
                  <a:lumMod val="50000"/>
                </a:schemeClr>
              </a:solidFill>
              <a:round/>
            </a:ln>
            <a:effectLst/>
          </c:spPr>
          <c:marker>
            <c:symbol val="none"/>
          </c:marker>
          <c:cat>
            <c:strRef>
              <c:f>'Applctns and appntmnts 2019'!$A$2:$A$7</c:f>
              <c:strCache>
                <c:ptCount val="6"/>
                <c:pt idx="0">
                  <c:v>Female</c:v>
                </c:pt>
                <c:pt idx="1">
                  <c:v>Disabled</c:v>
                </c:pt>
                <c:pt idx="2">
                  <c:v>Black and minority ethnic (visible)</c:v>
                </c:pt>
                <c:pt idx="3">
                  <c:v>Black and minority ethnic (non-visible)</c:v>
                </c:pt>
                <c:pt idx="4">
                  <c:v>Aged 49 and under</c:v>
                </c:pt>
                <c:pt idx="5">
                  <c:v>Lesbian, gay, bisexual or other sexuality </c:v>
                </c:pt>
              </c:strCache>
            </c:strRef>
          </c:cat>
          <c:val>
            <c:numRef>
              <c:f>'Applctns and appntmnts 2019'!$B$2:$B$7</c:f>
              <c:numCache>
                <c:formatCode>General</c:formatCode>
                <c:ptCount val="6"/>
                <c:pt idx="0">
                  <c:v>40</c:v>
                </c:pt>
                <c:pt idx="1">
                  <c:v>15</c:v>
                </c:pt>
                <c:pt idx="2">
                  <c:v>4</c:v>
                </c:pt>
                <c:pt idx="3">
                  <c:v>4</c:v>
                </c:pt>
                <c:pt idx="4">
                  <c:v>40</c:v>
                </c:pt>
                <c:pt idx="5">
                  <c:v>6</c:v>
                </c:pt>
              </c:numCache>
            </c:numRef>
          </c:val>
          <c:smooth val="0"/>
          <c:extLst>
            <c:ext xmlns:c16="http://schemas.microsoft.com/office/drawing/2014/chart" uri="{C3380CC4-5D6E-409C-BE32-E72D297353CC}">
              <c16:uniqueId val="{00000002-A1E0-4CE6-B3B9-0E943C5017CE}"/>
            </c:ext>
          </c:extLst>
        </c:ser>
        <c:ser>
          <c:idx val="3"/>
          <c:order val="3"/>
          <c:tx>
            <c:strRef>
              <c:f>'Applctns and appntmnts 2019'!$E$1</c:f>
              <c:strCache>
                <c:ptCount val="1"/>
                <c:pt idx="0">
                  <c:v>%age Scottish Population</c:v>
                </c:pt>
              </c:strCache>
            </c:strRef>
          </c:tx>
          <c:spPr>
            <a:ln w="28575" cap="rnd">
              <a:solidFill>
                <a:srgbClr val="7030A0"/>
              </a:solidFill>
              <a:round/>
            </a:ln>
            <a:effectLst/>
          </c:spPr>
          <c:marker>
            <c:symbol val="none"/>
          </c:marker>
          <c:cat>
            <c:strRef>
              <c:f>'Applctns and appntmnts 2019'!$A$2:$A$7</c:f>
              <c:strCache>
                <c:ptCount val="6"/>
                <c:pt idx="0">
                  <c:v>Female</c:v>
                </c:pt>
                <c:pt idx="1">
                  <c:v>Disabled</c:v>
                </c:pt>
                <c:pt idx="2">
                  <c:v>Black and minority ethnic (visible)</c:v>
                </c:pt>
                <c:pt idx="3">
                  <c:v>Black and minority ethnic (non-visible)</c:v>
                </c:pt>
                <c:pt idx="4">
                  <c:v>Aged 49 and under</c:v>
                </c:pt>
                <c:pt idx="5">
                  <c:v>Lesbian, gay, bisexual or other sexuality </c:v>
                </c:pt>
              </c:strCache>
            </c:strRef>
          </c:cat>
          <c:val>
            <c:numRef>
              <c:f>'Applctns and appntmnts 2019'!$E$2:$E$7</c:f>
              <c:numCache>
                <c:formatCode>General</c:formatCode>
                <c:ptCount val="6"/>
                <c:pt idx="0">
                  <c:v>51.5</c:v>
                </c:pt>
                <c:pt idx="1">
                  <c:v>19.600000000000001</c:v>
                </c:pt>
                <c:pt idx="2">
                  <c:v>4</c:v>
                </c:pt>
                <c:pt idx="3">
                  <c:v>4</c:v>
                </c:pt>
                <c:pt idx="4">
                  <c:v>54.3</c:v>
                </c:pt>
                <c:pt idx="5">
                  <c:v>6</c:v>
                </c:pt>
              </c:numCache>
            </c:numRef>
          </c:val>
          <c:smooth val="0"/>
          <c:extLst>
            <c:ext xmlns:c16="http://schemas.microsoft.com/office/drawing/2014/chart" uri="{C3380CC4-5D6E-409C-BE32-E72D297353CC}">
              <c16:uniqueId val="{00000003-A1E0-4CE6-B3B9-0E943C5017CE}"/>
            </c:ext>
          </c:extLst>
        </c:ser>
        <c:dLbls>
          <c:showLegendKey val="0"/>
          <c:showVal val="0"/>
          <c:showCatName val="0"/>
          <c:showSerName val="0"/>
          <c:showPercent val="0"/>
          <c:showBubbleSize val="0"/>
        </c:dLbls>
        <c:marker val="1"/>
        <c:smooth val="0"/>
        <c:axId val="675556488"/>
        <c:axId val="675557800"/>
      </c:lineChart>
      <c:catAx>
        <c:axId val="67555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75557800"/>
        <c:crosses val="autoZero"/>
        <c:auto val="1"/>
        <c:lblAlgn val="ctr"/>
        <c:lblOffset val="100"/>
        <c:noMultiLvlLbl val="0"/>
      </c:catAx>
      <c:valAx>
        <c:axId val="675557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675556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Changes in Board Demographics Over Time</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0293453724604966"/>
          <c:y val="0.12166724078539443"/>
          <c:w val="0.88064847116765854"/>
          <c:h val="0.58749216802601711"/>
        </c:manualLayout>
      </c:layout>
      <c:barChart>
        <c:barDir val="col"/>
        <c:grouping val="clustered"/>
        <c:varyColors val="0"/>
        <c:ser>
          <c:idx val="1"/>
          <c:order val="1"/>
          <c:tx>
            <c:strRef>
              <c:f>'Changing demographics 14-19'!$I$15</c:f>
              <c:strCache>
                <c:ptCount val="1"/>
                <c:pt idx="0">
                  <c:v>Female</c:v>
                </c:pt>
              </c:strCache>
            </c:strRef>
          </c:tx>
          <c:spPr>
            <a:solidFill>
              <a:schemeClr val="tx2">
                <a:lumMod val="40000"/>
                <a:lumOff val="60000"/>
              </a:schemeClr>
            </a:solidFill>
            <a:ln>
              <a:solidFill>
                <a:schemeClr val="tx2">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'Changing demographics 14-19'!$J$13:$O$13</c:f>
              <c:numCache>
                <c:formatCode>General</c:formatCode>
                <c:ptCount val="6"/>
                <c:pt idx="0">
                  <c:v>2005</c:v>
                </c:pt>
                <c:pt idx="1">
                  <c:v>2015</c:v>
                </c:pt>
                <c:pt idx="2">
                  <c:v>2016</c:v>
                </c:pt>
                <c:pt idx="3">
                  <c:v>2017</c:v>
                </c:pt>
                <c:pt idx="4">
                  <c:v>2018</c:v>
                </c:pt>
                <c:pt idx="5">
                  <c:v>2019</c:v>
                </c:pt>
              </c:numCache>
            </c:numRef>
          </c:cat>
          <c:val>
            <c:numRef>
              <c:f>'Changing demographics 14-19'!$J$15:$O$15</c:f>
              <c:numCache>
                <c:formatCode>0.0%</c:formatCode>
                <c:ptCount val="6"/>
                <c:pt idx="0">
                  <c:v>0.34499999999999997</c:v>
                </c:pt>
                <c:pt idx="1">
                  <c:v>0.42</c:v>
                </c:pt>
                <c:pt idx="2">
                  <c:v>0.45100000000000001</c:v>
                </c:pt>
                <c:pt idx="3">
                  <c:v>0.46</c:v>
                </c:pt>
                <c:pt idx="4">
                  <c:v>0.48599999999999999</c:v>
                </c:pt>
                <c:pt idx="5">
                  <c:v>0.5</c:v>
                </c:pt>
              </c:numCache>
            </c:numRef>
          </c:val>
          <c:extLst>
            <c:ext xmlns:c16="http://schemas.microsoft.com/office/drawing/2014/chart" uri="{C3380CC4-5D6E-409C-BE32-E72D297353CC}">
              <c16:uniqueId val="{00000000-457C-4367-B1AB-8FD50789FFAE}"/>
            </c:ext>
          </c:extLst>
        </c:ser>
        <c:ser>
          <c:idx val="3"/>
          <c:order val="3"/>
          <c:tx>
            <c:strRef>
              <c:f>'Changing demographics 14-19'!$I$17</c:f>
              <c:strCache>
                <c:ptCount val="1"/>
                <c:pt idx="0">
                  <c:v>Disabled</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'Changing demographics 14-19'!$J$13:$O$13</c:f>
              <c:numCache>
                <c:formatCode>General</c:formatCode>
                <c:ptCount val="6"/>
                <c:pt idx="0">
                  <c:v>2005</c:v>
                </c:pt>
                <c:pt idx="1">
                  <c:v>2015</c:v>
                </c:pt>
                <c:pt idx="2">
                  <c:v>2016</c:v>
                </c:pt>
                <c:pt idx="3">
                  <c:v>2017</c:v>
                </c:pt>
                <c:pt idx="4">
                  <c:v>2018</c:v>
                </c:pt>
                <c:pt idx="5">
                  <c:v>2019</c:v>
                </c:pt>
              </c:numCache>
            </c:numRef>
          </c:cat>
          <c:val>
            <c:numRef>
              <c:f>'Changing demographics 14-19'!$J$17:$O$17</c:f>
              <c:numCache>
                <c:formatCode>0.0%</c:formatCode>
                <c:ptCount val="6"/>
                <c:pt idx="0">
                  <c:v>2.4E-2</c:v>
                </c:pt>
                <c:pt idx="1">
                  <c:v>0.11799999999999999</c:v>
                </c:pt>
                <c:pt idx="2">
                  <c:v>9.1999999999999998E-2</c:v>
                </c:pt>
                <c:pt idx="3">
                  <c:v>7.9000000000000001E-2</c:v>
                </c:pt>
                <c:pt idx="4">
                  <c:v>6.9000000000000006E-2</c:v>
                </c:pt>
                <c:pt idx="5">
                  <c:v>7.1999999999999995E-2</c:v>
                </c:pt>
              </c:numCache>
            </c:numRef>
          </c:val>
          <c:extLst>
            <c:ext xmlns:c16="http://schemas.microsoft.com/office/drawing/2014/chart" uri="{C3380CC4-5D6E-409C-BE32-E72D297353CC}">
              <c16:uniqueId val="{00000001-457C-4367-B1AB-8FD50789FFAE}"/>
            </c:ext>
          </c:extLst>
        </c:ser>
        <c:ser>
          <c:idx val="5"/>
          <c:order val="5"/>
          <c:tx>
            <c:strRef>
              <c:f>'Changing demographics 14-19'!$I$19</c:f>
              <c:strCache>
                <c:ptCount val="1"/>
                <c:pt idx="0">
                  <c:v>Black and minority ethnic (visible)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'Changing demographics 14-19'!$J$13:$O$13</c:f>
              <c:numCache>
                <c:formatCode>General</c:formatCode>
                <c:ptCount val="6"/>
                <c:pt idx="0">
                  <c:v>2005</c:v>
                </c:pt>
                <c:pt idx="1">
                  <c:v>2015</c:v>
                </c:pt>
                <c:pt idx="2">
                  <c:v>2016</c:v>
                </c:pt>
                <c:pt idx="3">
                  <c:v>2017</c:v>
                </c:pt>
                <c:pt idx="4">
                  <c:v>2018</c:v>
                </c:pt>
                <c:pt idx="5">
                  <c:v>2019</c:v>
                </c:pt>
              </c:numCache>
            </c:numRef>
          </c:cat>
          <c:val>
            <c:numRef>
              <c:f>'Changing demographics 14-19'!$J$19:$O$19</c:f>
              <c:numCache>
                <c:formatCode>0.0%</c:formatCode>
                <c:ptCount val="6"/>
                <c:pt idx="0">
                  <c:v>2.8000000000000001E-2</c:v>
                </c:pt>
                <c:pt idx="1">
                  <c:v>3.5000000000000003E-2</c:v>
                </c:pt>
                <c:pt idx="2">
                  <c:v>3.5999999999999997E-2</c:v>
                </c:pt>
                <c:pt idx="3">
                  <c:v>3.2000000000000001E-2</c:v>
                </c:pt>
                <c:pt idx="4">
                  <c:v>2.9000000000000001E-2</c:v>
                </c:pt>
                <c:pt idx="5">
                  <c:v>2.8000000000000001E-2</c:v>
                </c:pt>
              </c:numCache>
            </c:numRef>
          </c:val>
          <c:extLst>
            <c:ext xmlns:c16="http://schemas.microsoft.com/office/drawing/2014/chart" uri="{C3380CC4-5D6E-409C-BE32-E72D297353CC}">
              <c16:uniqueId val="{00000002-457C-4367-B1AB-8FD50789FFAE}"/>
            </c:ext>
          </c:extLst>
        </c:ser>
        <c:dLbls>
          <c:showLegendKey val="0"/>
          <c:showVal val="0"/>
          <c:showCatName val="0"/>
          <c:showSerName val="0"/>
          <c:showPercent val="0"/>
          <c:showBubbleSize val="0"/>
        </c:dLbls>
        <c:gapWidth val="219"/>
        <c:axId val="736220792"/>
        <c:axId val="736218496"/>
      </c:barChart>
      <c:lineChart>
        <c:grouping val="standard"/>
        <c:varyColors val="0"/>
        <c:ser>
          <c:idx val="0"/>
          <c:order val="0"/>
          <c:tx>
            <c:strRef>
              <c:f>'Changing demographics 14-19'!$I$14</c:f>
              <c:strCache>
                <c:ptCount val="1"/>
                <c:pt idx="0">
                  <c:v>Scottish Pop. Female</c:v>
                </c:pt>
              </c:strCache>
            </c:strRef>
          </c:tx>
          <c:spPr>
            <a:ln w="28575" cap="rnd">
              <a:solidFill>
                <a:srgbClr val="7030A0"/>
              </a:solidFill>
              <a:round/>
            </a:ln>
            <a:effectLst/>
          </c:spPr>
          <c:marker>
            <c:symbol val="none"/>
          </c:marker>
          <c:cat>
            <c:numRef>
              <c:f>'Changing demographics 14-19'!$J$13:$O$13</c:f>
              <c:numCache>
                <c:formatCode>General</c:formatCode>
                <c:ptCount val="6"/>
                <c:pt idx="0">
                  <c:v>2005</c:v>
                </c:pt>
                <c:pt idx="1">
                  <c:v>2015</c:v>
                </c:pt>
                <c:pt idx="2">
                  <c:v>2016</c:v>
                </c:pt>
                <c:pt idx="3">
                  <c:v>2017</c:v>
                </c:pt>
                <c:pt idx="4">
                  <c:v>2018</c:v>
                </c:pt>
                <c:pt idx="5">
                  <c:v>2019</c:v>
                </c:pt>
              </c:numCache>
            </c:numRef>
          </c:cat>
          <c:val>
            <c:numRef>
              <c:f>'Changing demographics 14-19'!$J$14:$O$14</c:f>
              <c:numCache>
                <c:formatCode>0.0%</c:formatCode>
                <c:ptCount val="6"/>
                <c:pt idx="0">
                  <c:v>0.51500000000000001</c:v>
                </c:pt>
                <c:pt idx="1">
                  <c:v>0.51500000000000001</c:v>
                </c:pt>
                <c:pt idx="2">
                  <c:v>0.51500000000000001</c:v>
                </c:pt>
                <c:pt idx="3">
                  <c:v>0.51500000000000001</c:v>
                </c:pt>
                <c:pt idx="4">
                  <c:v>0.51500000000000001</c:v>
                </c:pt>
                <c:pt idx="5">
                  <c:v>0.51500000000000001</c:v>
                </c:pt>
              </c:numCache>
            </c:numRef>
          </c:val>
          <c:smooth val="0"/>
          <c:extLst>
            <c:ext xmlns:c16="http://schemas.microsoft.com/office/drawing/2014/chart" uri="{C3380CC4-5D6E-409C-BE32-E72D297353CC}">
              <c16:uniqueId val="{00000003-457C-4367-B1AB-8FD50789FFAE}"/>
            </c:ext>
          </c:extLst>
        </c:ser>
        <c:ser>
          <c:idx val="2"/>
          <c:order val="2"/>
          <c:tx>
            <c:strRef>
              <c:f>'Changing demographics 14-19'!$I$16</c:f>
              <c:strCache>
                <c:ptCount val="1"/>
                <c:pt idx="0">
                  <c:v>Scottish Pop. Disabled</c:v>
                </c:pt>
              </c:strCache>
            </c:strRef>
          </c:tx>
          <c:spPr>
            <a:ln w="28575" cap="rnd">
              <a:solidFill>
                <a:schemeClr val="tx1">
                  <a:lumMod val="65000"/>
                  <a:lumOff val="35000"/>
                </a:schemeClr>
              </a:solidFill>
              <a:round/>
            </a:ln>
            <a:effectLst/>
          </c:spPr>
          <c:marker>
            <c:symbol val="none"/>
          </c:marker>
          <c:cat>
            <c:numRef>
              <c:f>'Changing demographics 14-19'!$J$13:$O$13</c:f>
              <c:numCache>
                <c:formatCode>General</c:formatCode>
                <c:ptCount val="6"/>
                <c:pt idx="0">
                  <c:v>2005</c:v>
                </c:pt>
                <c:pt idx="1">
                  <c:v>2015</c:v>
                </c:pt>
                <c:pt idx="2">
                  <c:v>2016</c:v>
                </c:pt>
                <c:pt idx="3">
                  <c:v>2017</c:v>
                </c:pt>
                <c:pt idx="4">
                  <c:v>2018</c:v>
                </c:pt>
                <c:pt idx="5">
                  <c:v>2019</c:v>
                </c:pt>
              </c:numCache>
            </c:numRef>
          </c:cat>
          <c:val>
            <c:numRef>
              <c:f>'Changing demographics 14-19'!$J$16:$O$16</c:f>
              <c:numCache>
                <c:formatCode>0.0%</c:formatCode>
                <c:ptCount val="6"/>
                <c:pt idx="0">
                  <c:v>0.19600000000000001</c:v>
                </c:pt>
                <c:pt idx="1">
                  <c:v>0.19600000000000001</c:v>
                </c:pt>
                <c:pt idx="2">
                  <c:v>0.19600000000000001</c:v>
                </c:pt>
                <c:pt idx="3">
                  <c:v>0.19600000000000001</c:v>
                </c:pt>
                <c:pt idx="4">
                  <c:v>0.19600000000000001</c:v>
                </c:pt>
                <c:pt idx="5">
                  <c:v>0.19600000000000001</c:v>
                </c:pt>
              </c:numCache>
            </c:numRef>
          </c:val>
          <c:smooth val="0"/>
          <c:extLst>
            <c:ext xmlns:c16="http://schemas.microsoft.com/office/drawing/2014/chart" uri="{C3380CC4-5D6E-409C-BE32-E72D297353CC}">
              <c16:uniqueId val="{00000004-457C-4367-B1AB-8FD50789FFAE}"/>
            </c:ext>
          </c:extLst>
        </c:ser>
        <c:ser>
          <c:idx val="4"/>
          <c:order val="4"/>
          <c:tx>
            <c:strRef>
              <c:f>'Changing demographics 14-19'!$I$18</c:f>
              <c:strCache>
                <c:ptCount val="1"/>
                <c:pt idx="0">
                  <c:v>Scottish Pop. BME</c:v>
                </c:pt>
              </c:strCache>
            </c:strRef>
          </c:tx>
          <c:spPr>
            <a:ln w="28575" cap="rnd">
              <a:solidFill>
                <a:schemeClr val="accent6">
                  <a:lumMod val="75000"/>
                </a:schemeClr>
              </a:solidFill>
              <a:round/>
            </a:ln>
            <a:effectLst/>
          </c:spPr>
          <c:marker>
            <c:symbol val="none"/>
          </c:marker>
          <c:cat>
            <c:numRef>
              <c:f>'Changing demographics 14-19'!$J$13:$O$13</c:f>
              <c:numCache>
                <c:formatCode>General</c:formatCode>
                <c:ptCount val="6"/>
                <c:pt idx="0">
                  <c:v>2005</c:v>
                </c:pt>
                <c:pt idx="1">
                  <c:v>2015</c:v>
                </c:pt>
                <c:pt idx="2">
                  <c:v>2016</c:v>
                </c:pt>
                <c:pt idx="3">
                  <c:v>2017</c:v>
                </c:pt>
                <c:pt idx="4">
                  <c:v>2018</c:v>
                </c:pt>
                <c:pt idx="5">
                  <c:v>2019</c:v>
                </c:pt>
              </c:numCache>
            </c:numRef>
          </c:cat>
          <c:val>
            <c:numRef>
              <c:f>'Changing demographics 14-19'!$J$18:$O$18</c:f>
              <c:numCache>
                <c:formatCode>0.0%</c:formatCode>
                <c:ptCount val="6"/>
                <c:pt idx="0">
                  <c:v>0.04</c:v>
                </c:pt>
                <c:pt idx="1">
                  <c:v>0.04</c:v>
                </c:pt>
                <c:pt idx="2">
                  <c:v>0.04</c:v>
                </c:pt>
                <c:pt idx="3">
                  <c:v>0.04</c:v>
                </c:pt>
                <c:pt idx="4">
                  <c:v>0.04</c:v>
                </c:pt>
                <c:pt idx="5">
                  <c:v>0.04</c:v>
                </c:pt>
              </c:numCache>
            </c:numRef>
          </c:val>
          <c:smooth val="0"/>
          <c:extLst>
            <c:ext xmlns:c16="http://schemas.microsoft.com/office/drawing/2014/chart" uri="{C3380CC4-5D6E-409C-BE32-E72D297353CC}">
              <c16:uniqueId val="{00000005-457C-4367-B1AB-8FD50789FFAE}"/>
            </c:ext>
          </c:extLst>
        </c:ser>
        <c:dLbls>
          <c:showLegendKey val="0"/>
          <c:showVal val="0"/>
          <c:showCatName val="0"/>
          <c:showSerName val="0"/>
          <c:showPercent val="0"/>
          <c:showBubbleSize val="0"/>
        </c:dLbls>
        <c:marker val="1"/>
        <c:smooth val="0"/>
        <c:axId val="736220792"/>
        <c:axId val="736218496"/>
        <c:extLst>
          <c:ext xmlns:c15="http://schemas.microsoft.com/office/drawing/2012/chart" uri="{02D57815-91ED-43cb-92C2-25804820EDAC}">
            <c15:filteredLineSeries>
              <c15:ser>
                <c:idx val="6"/>
                <c:order val="6"/>
                <c:tx>
                  <c:strRef>
                    <c:extLst>
                      <c:ext uri="{02D57815-91ED-43cb-92C2-25804820EDAC}">
                        <c15:formulaRef>
                          <c15:sqref>'Changing demographics 14-19'!$I$20</c15:sqref>
                        </c15:formulaRef>
                      </c:ext>
                    </c:extLst>
                    <c:strCache>
                      <c:ptCount val="1"/>
                      <c:pt idx="0">
                        <c:v>Scottish Pop. LGB</c:v>
                      </c:pt>
                    </c:strCache>
                  </c:strRef>
                </c:tx>
                <c:spPr>
                  <a:ln w="28575" cap="rnd">
                    <a:solidFill>
                      <a:schemeClr val="accent1">
                        <a:lumMod val="60000"/>
                      </a:schemeClr>
                    </a:solid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6-457C-4367-B1AB-8FD50789FFAE}"/>
                  </c:ext>
                </c:extLst>
              </c15:ser>
            </c15:filteredLineSeries>
            <c15:filteredLineSeries>
              <c15:ser>
                <c:idx val="7"/>
                <c:order val="7"/>
                <c:tx>
                  <c:strRef>
                    <c:extLst xmlns:c15="http://schemas.microsoft.com/office/drawing/2012/chart">
                      <c:ext xmlns:c15="http://schemas.microsoft.com/office/drawing/2012/chart" uri="{02D57815-91ED-43cb-92C2-25804820EDAC}">
                        <c15:formulaRef>
                          <c15:sqref>'Changing demographics 14-19'!$I$21</c15:sqref>
                        </c15:formulaRef>
                      </c:ext>
                    </c:extLst>
                    <c:strCache>
                      <c:ptCount val="1"/>
                      <c:pt idx="0">
                        <c:v>Lesbian, Gay or Bisexual</c:v>
                      </c:pt>
                    </c:strCache>
                  </c:strRef>
                </c:tx>
                <c:spPr>
                  <a:ln w="28575" cap="rnd">
                    <a:solidFill>
                      <a:schemeClr val="accent2">
                        <a:lumMod val="60000"/>
                      </a:schemeClr>
                    </a:solidFill>
                    <a:round/>
                  </a:ln>
                  <a:effectLst/>
                </c:spPr>
                <c:marker>
                  <c:symbol val="none"/>
                </c:marker>
                <c:val>
                  <c:numLit>
                    <c:formatCode>General</c:formatCode>
                    <c:ptCount val="1"/>
                    <c:pt idx="0">
                      <c:v>1</c:v>
                    </c:pt>
                  </c:numLit>
                </c:val>
                <c:smooth val="0"/>
                <c:extLst xmlns:c15="http://schemas.microsoft.com/office/drawing/2012/chart">
                  <c:ext xmlns:c16="http://schemas.microsoft.com/office/drawing/2014/chart" uri="{C3380CC4-5D6E-409C-BE32-E72D297353CC}">
                    <c16:uniqueId val="{00000007-457C-4367-B1AB-8FD50789FFAE}"/>
                  </c:ext>
                </c:extLst>
              </c15:ser>
            </c15:filteredLineSeries>
          </c:ext>
        </c:extLst>
      </c:lineChart>
      <c:catAx>
        <c:axId val="736220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36218496"/>
        <c:crosses val="autoZero"/>
        <c:auto val="1"/>
        <c:lblAlgn val="ctr"/>
        <c:lblOffset val="100"/>
        <c:noMultiLvlLbl val="0"/>
      </c:catAx>
      <c:valAx>
        <c:axId val="73621849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36220792"/>
        <c:crosses val="autoZero"/>
        <c:crossBetween val="between"/>
      </c:valAx>
      <c:spPr>
        <a:noFill/>
        <a:ln>
          <a:noFill/>
        </a:ln>
        <a:effectLst/>
      </c:spPr>
    </c:plotArea>
    <c:legend>
      <c:legendPos val="b"/>
      <c:layout>
        <c:manualLayout>
          <c:xMode val="edge"/>
          <c:yMode val="edge"/>
          <c:x val="6.5939428410767362E-3"/>
          <c:y val="0.81040818485357269"/>
          <c:w val="0.99340605715892316"/>
          <c:h val="0.1865466351669871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GB" sz="1100"/>
              <a:t>Applications</a:t>
            </a:r>
            <a:r>
              <a:rPr lang="en-GB" sz="1100" baseline="0"/>
              <a:t> and appointments by household income in 2019</a:t>
            </a:r>
            <a:endParaRPr lang="en-GB" sz="1100"/>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'Income chart'!$A$10</c:f>
              <c:strCache>
                <c:ptCount val="1"/>
                <c:pt idx="0">
                  <c:v>%age applications 2019</c:v>
                </c:pt>
              </c:strCache>
            </c:strRef>
          </c:tx>
          <c:spPr>
            <a:solidFill>
              <a:schemeClr val="accent1"/>
            </a:solidFill>
            <a:ln>
              <a:noFill/>
            </a:ln>
            <a:effectLst/>
            <a:sp3d/>
          </c:spPr>
          <c:invertIfNegative val="0"/>
          <c:dLbls>
            <c:dLbl>
              <c:idx val="0"/>
              <c:layout>
                <c:manualLayout>
                  <c:x val="2.3401993295313748E-17"/>
                  <c:y val="-4.42771751162275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5D2-4D1A-A465-AA9752F31C18}"/>
                </c:ext>
              </c:extLst>
            </c:dLbl>
            <c:dLbl>
              <c:idx val="1"/>
              <c:layout>
                <c:manualLayout>
                  <c:x val="5.1059484299208575E-3"/>
                  <c:y val="-2.6566305069736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5D2-4D1A-A465-AA9752F31C18}"/>
                </c:ext>
              </c:extLst>
            </c:dLbl>
            <c:dLbl>
              <c:idx val="2"/>
              <c:layout>
                <c:manualLayout>
                  <c:x val="-9.3607973181254992E-17"/>
                  <c:y val="-2.6566305069736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5D2-4D1A-A465-AA9752F31C1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'Income chart'!$B$9:$D$9</c:f>
              <c:strCache>
                <c:ptCount val="3"/>
                <c:pt idx="0">
                  <c:v>Under £26k</c:v>
                </c:pt>
                <c:pt idx="1">
                  <c:v>Over £26k but under £78k</c:v>
                </c:pt>
                <c:pt idx="2">
                  <c:v>£78k or more</c:v>
                </c:pt>
              </c:strCache>
            </c:strRef>
          </c:cat>
          <c:val>
            <c:numRef>
              <c:f>'Income chart'!$B$10:$D$10</c:f>
              <c:numCache>
                <c:formatCode>General</c:formatCode>
                <c:ptCount val="3"/>
                <c:pt idx="0">
                  <c:v>12.7</c:v>
                </c:pt>
                <c:pt idx="1">
                  <c:v>42.7</c:v>
                </c:pt>
                <c:pt idx="2">
                  <c:v>21.7</c:v>
                </c:pt>
              </c:numCache>
            </c:numRef>
          </c:val>
          <c:extLst>
            <c:ext xmlns:c16="http://schemas.microsoft.com/office/drawing/2014/chart" uri="{C3380CC4-5D6E-409C-BE32-E72D297353CC}">
              <c16:uniqueId val="{00000000-7893-43E1-9910-809CE7EA9173}"/>
            </c:ext>
          </c:extLst>
        </c:ser>
        <c:ser>
          <c:idx val="1"/>
          <c:order val="1"/>
          <c:tx>
            <c:strRef>
              <c:f>'Income chart'!$A$11</c:f>
              <c:strCache>
                <c:ptCount val="1"/>
                <c:pt idx="0">
                  <c:v>%age appointments 2019</c:v>
                </c:pt>
              </c:strCache>
            </c:strRef>
          </c:tx>
          <c:spPr>
            <a:solidFill>
              <a:schemeClr val="accent2"/>
            </a:solidFill>
            <a:ln>
              <a:noFill/>
            </a:ln>
            <a:effectLst/>
            <a:sp3d/>
          </c:spPr>
          <c:invertIfNegative val="0"/>
          <c:dLbls>
            <c:dLbl>
              <c:idx val="0"/>
              <c:layout>
                <c:manualLayout>
                  <c:x val="1.5317845289762527E-2"/>
                  <c:y val="-3.09940225813593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5D2-4D1A-A465-AA9752F31C18}"/>
                </c:ext>
              </c:extLst>
            </c:dLbl>
            <c:dLbl>
              <c:idx val="1"/>
              <c:layout>
                <c:manualLayout>
                  <c:x val="2.042379371968343E-2"/>
                  <c:y val="-1.32831525348683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5D2-4D1A-A465-AA9752F31C18}"/>
                </c:ext>
              </c:extLst>
            </c:dLbl>
            <c:dLbl>
              <c:idx val="2"/>
              <c:layout>
                <c:manualLayout>
                  <c:x val="1.2764871074802051E-2"/>
                  <c:y val="-1.32831525348682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5D2-4D1A-A465-AA9752F31C1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'Income chart'!$B$9:$D$9</c:f>
              <c:strCache>
                <c:ptCount val="3"/>
                <c:pt idx="0">
                  <c:v>Under £26k</c:v>
                </c:pt>
                <c:pt idx="1">
                  <c:v>Over £26k but under £78k</c:v>
                </c:pt>
                <c:pt idx="2">
                  <c:v>£78k or more</c:v>
                </c:pt>
              </c:strCache>
            </c:strRef>
          </c:cat>
          <c:val>
            <c:numRef>
              <c:f>'Income chart'!$B$11:$D$11</c:f>
              <c:numCache>
                <c:formatCode>General</c:formatCode>
                <c:ptCount val="3"/>
                <c:pt idx="0">
                  <c:v>5.9</c:v>
                </c:pt>
                <c:pt idx="1">
                  <c:v>40</c:v>
                </c:pt>
                <c:pt idx="2">
                  <c:v>37.799999999999997</c:v>
                </c:pt>
              </c:numCache>
            </c:numRef>
          </c:val>
          <c:extLst>
            <c:ext xmlns:c16="http://schemas.microsoft.com/office/drawing/2014/chart" uri="{C3380CC4-5D6E-409C-BE32-E72D297353CC}">
              <c16:uniqueId val="{00000001-7893-43E1-9910-809CE7EA9173}"/>
            </c:ext>
          </c:extLst>
        </c:ser>
        <c:dLbls>
          <c:showLegendKey val="0"/>
          <c:showVal val="0"/>
          <c:showCatName val="0"/>
          <c:showSerName val="0"/>
          <c:showPercent val="0"/>
          <c:showBubbleSize val="0"/>
        </c:dLbls>
        <c:gapWidth val="150"/>
        <c:shape val="box"/>
        <c:axId val="690800296"/>
        <c:axId val="690792752"/>
        <c:axId val="0"/>
      </c:bar3DChart>
      <c:catAx>
        <c:axId val="6908002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0792752"/>
        <c:crosses val="autoZero"/>
        <c:auto val="1"/>
        <c:lblAlgn val="ctr"/>
        <c:lblOffset val="100"/>
        <c:noMultiLvlLbl val="0"/>
      </c:catAx>
      <c:valAx>
        <c:axId val="690792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0800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Bruce</dc:creator>
  <cp:keywords/>
  <dc:description/>
  <cp:lastModifiedBy>Ian Bruce</cp:lastModifiedBy>
  <cp:revision>2</cp:revision>
  <cp:lastPrinted>2019-11-12T16:16:00Z</cp:lastPrinted>
  <dcterms:created xsi:type="dcterms:W3CDTF">2020-07-28T13:11:00Z</dcterms:created>
  <dcterms:modified xsi:type="dcterms:W3CDTF">2020-07-28T13:11:00Z</dcterms:modified>
</cp:coreProperties>
</file>