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A0D79" w14:textId="59CE4619" w:rsidR="00C1704D" w:rsidRPr="00707293" w:rsidRDefault="009B0C3C" w:rsidP="00F407B6">
      <w:pPr>
        <w:spacing w:after="0" w:line="240" w:lineRule="auto"/>
        <w:rPr>
          <w:rFonts w:cs="Arial"/>
          <w:b/>
          <w:bCs/>
          <w:szCs w:val="24"/>
        </w:rPr>
      </w:pPr>
      <w:bookmarkStart w:id="0" w:name="_GoBack"/>
      <w:bookmarkEnd w:id="0"/>
      <w:r>
        <w:rPr>
          <w:rFonts w:cs="Arial"/>
          <w:b/>
          <w:bCs/>
          <w:szCs w:val="24"/>
        </w:rPr>
        <w:t>CODE OF CONDUCT</w:t>
      </w:r>
    </w:p>
    <w:p w14:paraId="4913C0C9" w14:textId="77777777" w:rsidR="00C1704D" w:rsidRPr="00B560C6" w:rsidRDefault="00C1704D" w:rsidP="00F407B6">
      <w:pPr>
        <w:spacing w:after="0" w:line="240" w:lineRule="auto"/>
        <w:rPr>
          <w:rFonts w:cs="Arial"/>
          <w:sz w:val="16"/>
          <w:szCs w:val="16"/>
        </w:rPr>
      </w:pPr>
    </w:p>
    <w:p w14:paraId="15D7B318" w14:textId="5D2A50A2" w:rsidR="00C1704D" w:rsidRPr="00F407B6" w:rsidRDefault="00C1704D" w:rsidP="00F407B6">
      <w:pPr>
        <w:spacing w:after="0" w:line="240" w:lineRule="auto"/>
        <w:rPr>
          <w:rFonts w:cs="Arial"/>
          <w:szCs w:val="24"/>
        </w:rPr>
      </w:pPr>
      <w:r w:rsidRPr="00F407B6">
        <w:rPr>
          <w:rFonts w:cs="Arial"/>
          <w:szCs w:val="24"/>
        </w:rPr>
        <w:t xml:space="preserve">Date policy adopted: </w:t>
      </w:r>
      <w:r w:rsidR="00FF55BA">
        <w:rPr>
          <w:rFonts w:cs="Arial"/>
          <w:szCs w:val="24"/>
        </w:rPr>
        <w:t>0</w:t>
      </w:r>
      <w:r w:rsidR="00F16834">
        <w:rPr>
          <w:rFonts w:cs="Arial"/>
          <w:szCs w:val="24"/>
        </w:rPr>
        <w:t>1/</w:t>
      </w:r>
      <w:r w:rsidR="00FF55BA">
        <w:rPr>
          <w:rFonts w:cs="Arial"/>
          <w:szCs w:val="24"/>
        </w:rPr>
        <w:t>0</w:t>
      </w:r>
      <w:r w:rsidR="00F16834">
        <w:rPr>
          <w:rFonts w:cs="Arial"/>
          <w:szCs w:val="24"/>
        </w:rPr>
        <w:t>4/11</w:t>
      </w:r>
    </w:p>
    <w:p w14:paraId="4CA54407" w14:textId="1B6EAB2F" w:rsidR="00C1704D" w:rsidRPr="00F407B6" w:rsidRDefault="00C1704D" w:rsidP="00F407B6">
      <w:pPr>
        <w:spacing w:after="0" w:line="240" w:lineRule="auto"/>
        <w:rPr>
          <w:rFonts w:cs="Arial"/>
          <w:szCs w:val="24"/>
        </w:rPr>
      </w:pPr>
      <w:r w:rsidRPr="00F407B6">
        <w:rPr>
          <w:rFonts w:cs="Arial"/>
          <w:szCs w:val="24"/>
        </w:rPr>
        <w:t xml:space="preserve">Date of last review: </w:t>
      </w:r>
      <w:r w:rsidR="00A000C1">
        <w:rPr>
          <w:rFonts w:cs="Arial"/>
          <w:szCs w:val="24"/>
        </w:rPr>
        <w:t>0</w:t>
      </w:r>
      <w:r w:rsidR="00F96F64">
        <w:rPr>
          <w:rFonts w:cs="Arial"/>
          <w:szCs w:val="24"/>
        </w:rPr>
        <w:t>1/</w:t>
      </w:r>
      <w:r w:rsidR="00FF55BA">
        <w:rPr>
          <w:rFonts w:cs="Arial"/>
          <w:szCs w:val="24"/>
        </w:rPr>
        <w:t>0</w:t>
      </w:r>
      <w:r w:rsidR="00A000C1">
        <w:rPr>
          <w:rFonts w:cs="Arial"/>
          <w:szCs w:val="24"/>
        </w:rPr>
        <w:t>6</w:t>
      </w:r>
      <w:r w:rsidR="00F96F64">
        <w:rPr>
          <w:rFonts w:cs="Arial"/>
          <w:szCs w:val="24"/>
        </w:rPr>
        <w:t>/21</w:t>
      </w:r>
    </w:p>
    <w:p w14:paraId="7B2F9848" w14:textId="7F0C18CE" w:rsidR="00C1704D" w:rsidRDefault="00C1704D" w:rsidP="00F407B6">
      <w:pPr>
        <w:spacing w:after="0" w:line="240" w:lineRule="auto"/>
        <w:rPr>
          <w:rFonts w:cs="Arial"/>
          <w:szCs w:val="24"/>
        </w:rPr>
      </w:pPr>
    </w:p>
    <w:p w14:paraId="1CFD47A5" w14:textId="77777777" w:rsidR="00BD2D53" w:rsidRDefault="00BD2D53" w:rsidP="00F407B6">
      <w:pPr>
        <w:spacing w:after="0" w:line="240" w:lineRule="auto"/>
        <w:rPr>
          <w:rFonts w:cs="Arial"/>
          <w:szCs w:val="24"/>
        </w:rPr>
      </w:pPr>
      <w:bookmarkStart w:id="1" w:name="Contents"/>
      <w:bookmarkEnd w:id="1"/>
    </w:p>
    <w:p w14:paraId="207DFD23" w14:textId="310FFAE1" w:rsidR="00D315B2" w:rsidRPr="0033794B" w:rsidRDefault="000F2E72" w:rsidP="00263D02">
      <w:pPr>
        <w:pStyle w:val="Heading1"/>
      </w:pPr>
      <w:bookmarkStart w:id="2" w:name="purposeandscope"/>
      <w:bookmarkStart w:id="3" w:name="_Toc44510261"/>
      <w:bookmarkStart w:id="4" w:name="_Toc63345779"/>
      <w:bookmarkEnd w:id="2"/>
      <w:r w:rsidRPr="0033794B">
        <w:t>Purpose and Scope</w:t>
      </w:r>
      <w:bookmarkEnd w:id="3"/>
      <w:bookmarkEnd w:id="4"/>
      <w:r w:rsidR="00D315B2" w:rsidRPr="0033794B">
        <w:t xml:space="preserve"> </w:t>
      </w:r>
    </w:p>
    <w:p w14:paraId="337CE92B" w14:textId="21EFCB7C" w:rsidR="009A5075" w:rsidRPr="008B50B5" w:rsidRDefault="009B0C3C" w:rsidP="008B50B5">
      <w:pPr>
        <w:spacing w:after="0" w:line="240" w:lineRule="auto"/>
        <w:rPr>
          <w:rFonts w:cs="Arial"/>
          <w:szCs w:val="24"/>
        </w:rPr>
      </w:pPr>
      <w:r w:rsidRPr="009B0C3C">
        <w:rPr>
          <w:rFonts w:cs="Arial"/>
          <w:szCs w:val="24"/>
        </w:rPr>
        <w:t>The Code of Conduct sets out requirements and guidelines to define acceptable standards of behaviour. The Code complements the general obligations of good conduct placed on all employees under their contracts of employment</w:t>
      </w:r>
      <w:r>
        <w:rPr>
          <w:rFonts w:cs="Arial"/>
          <w:szCs w:val="24"/>
        </w:rPr>
        <w:t xml:space="preserve"> when working for the Ethical Standards Commissioner (ESC).</w:t>
      </w:r>
    </w:p>
    <w:p w14:paraId="493B3D79" w14:textId="77777777" w:rsidR="009A5075" w:rsidRDefault="009A5075" w:rsidP="00D315B2">
      <w:pPr>
        <w:spacing w:after="0" w:line="240" w:lineRule="auto"/>
        <w:rPr>
          <w:rFonts w:cs="Arial"/>
          <w:szCs w:val="24"/>
        </w:rPr>
      </w:pPr>
    </w:p>
    <w:p w14:paraId="0E2CC8D5" w14:textId="08B3F7B9" w:rsidR="00FD320F" w:rsidRDefault="00F96F64" w:rsidP="00D315B2">
      <w:pPr>
        <w:spacing w:after="0" w:line="240" w:lineRule="auto"/>
        <w:rPr>
          <w:rFonts w:cs="Arial"/>
          <w:szCs w:val="24"/>
        </w:rPr>
      </w:pPr>
      <w:r w:rsidRPr="00F96F64">
        <w:rPr>
          <w:rFonts w:cs="Arial"/>
          <w:szCs w:val="24"/>
        </w:rPr>
        <w:t>This policy applies to all employees regardless of working pattern or nature of employment contract. It also applies to anyone working within the premises of and / or for the Commissioner (for example sub-contractors, consultants, secondees from another organisation or agency staff).  The word employee(s) in the context of this policy should be taken to mean all such individuals, unless specifically referred to as being directly employed by ESC</w:t>
      </w:r>
      <w:r w:rsidR="000F4935" w:rsidRPr="000F4935">
        <w:rPr>
          <w:rFonts w:cs="Arial"/>
          <w:szCs w:val="24"/>
        </w:rPr>
        <w:t>.</w:t>
      </w:r>
    </w:p>
    <w:p w14:paraId="4300B2E0" w14:textId="77777777" w:rsidR="00B41018" w:rsidRDefault="00B41018" w:rsidP="00D315B2">
      <w:pPr>
        <w:spacing w:after="0" w:line="240" w:lineRule="auto"/>
        <w:rPr>
          <w:rFonts w:cs="Arial"/>
          <w:szCs w:val="24"/>
        </w:rPr>
      </w:pPr>
    </w:p>
    <w:p w14:paraId="6DD79895" w14:textId="755388E2" w:rsidR="00D74CB7" w:rsidRPr="0033794B" w:rsidRDefault="00F96F64" w:rsidP="00F96F64">
      <w:pPr>
        <w:pStyle w:val="Heading1"/>
      </w:pPr>
      <w:bookmarkStart w:id="5" w:name="principles"/>
      <w:bookmarkStart w:id="6" w:name="issuescovered"/>
      <w:bookmarkEnd w:id="5"/>
      <w:bookmarkEnd w:id="6"/>
      <w:r w:rsidRPr="00F96F64">
        <w:t>Implementation, monitor</w:t>
      </w:r>
      <w:r w:rsidR="00FA7F11">
        <w:t>ing</w:t>
      </w:r>
      <w:r w:rsidRPr="00F96F64">
        <w:t xml:space="preserve"> and review of the </w:t>
      </w:r>
      <w:r w:rsidR="00FA7F11">
        <w:t>p</w:t>
      </w:r>
      <w:r w:rsidRPr="00F96F64">
        <w:t>olicy</w:t>
      </w:r>
    </w:p>
    <w:p w14:paraId="5986058B" w14:textId="2E8778BF" w:rsidR="003C6BFF" w:rsidRPr="003C6BFF" w:rsidRDefault="00F96F64" w:rsidP="00F96F64">
      <w:pPr>
        <w:spacing w:after="0" w:line="240" w:lineRule="auto"/>
        <w:rPr>
          <w:rFonts w:cs="Arial"/>
          <w:szCs w:val="24"/>
        </w:rPr>
      </w:pPr>
      <w:bookmarkStart w:id="7" w:name="_Hlk64538215"/>
      <w:r w:rsidRPr="00F96F64">
        <w:rPr>
          <w:rFonts w:cs="Arial"/>
          <w:szCs w:val="24"/>
        </w:rPr>
        <w:t xml:space="preserve">Overall responsibility for policy implementation, monitoring and review lies with ESC. Everyone covered by the scope of the policy is obliged to adhere to, and facilitate implementation of the policy.  Appropriate action will be taken to inform all new and existing employees and others covered by the scope of the existence of the policy and their role in adhering to it.  The policy will be reviewed at such times as legislation or </w:t>
      </w:r>
      <w:r w:rsidR="00FA7F11">
        <w:rPr>
          <w:rFonts w:cs="Arial"/>
          <w:szCs w:val="24"/>
        </w:rPr>
        <w:t xml:space="preserve">a change to the </w:t>
      </w:r>
      <w:r w:rsidR="00FA7F11" w:rsidRPr="00D81C46">
        <w:rPr>
          <w:rFonts w:cs="Arial"/>
          <w:szCs w:val="24"/>
        </w:rPr>
        <w:t xml:space="preserve">ESC policy </w:t>
      </w:r>
      <w:r w:rsidR="00FA7F11">
        <w:rPr>
          <w:rFonts w:cs="Arial"/>
          <w:szCs w:val="24"/>
        </w:rPr>
        <w:t>position requires it</w:t>
      </w:r>
      <w:r w:rsidRPr="00F96F64">
        <w:rPr>
          <w:rFonts w:cs="Arial"/>
          <w:szCs w:val="24"/>
        </w:rPr>
        <w:t>.  The policy will be made available to the general public</w:t>
      </w:r>
      <w:r w:rsidR="003C6BFF" w:rsidRPr="003C6BFF">
        <w:rPr>
          <w:rFonts w:cs="Arial"/>
          <w:szCs w:val="24"/>
        </w:rPr>
        <w:t>.</w:t>
      </w:r>
      <w:bookmarkEnd w:id="7"/>
    </w:p>
    <w:p w14:paraId="058F7E71" w14:textId="77777777" w:rsidR="003C6BFF" w:rsidRPr="003C6BFF" w:rsidRDefault="003C6BFF" w:rsidP="003C6BFF">
      <w:pPr>
        <w:spacing w:after="0" w:line="240" w:lineRule="auto"/>
        <w:rPr>
          <w:rFonts w:cs="Arial"/>
          <w:szCs w:val="24"/>
        </w:rPr>
      </w:pPr>
    </w:p>
    <w:p w14:paraId="3BD8E2B1" w14:textId="77777777" w:rsidR="009B0C3C" w:rsidRPr="005E78B2" w:rsidRDefault="009B0C3C" w:rsidP="009B0C3C">
      <w:pPr>
        <w:pStyle w:val="Heading1"/>
      </w:pPr>
      <w:r w:rsidRPr="005E78B2">
        <w:t>Register of Interests</w:t>
      </w:r>
    </w:p>
    <w:p w14:paraId="0A7D6B62" w14:textId="2CE52C19" w:rsidR="009B0C3C" w:rsidRDefault="0089780E" w:rsidP="009B0C3C">
      <w:pPr>
        <w:spacing w:after="0" w:line="257" w:lineRule="auto"/>
      </w:pPr>
      <w:r>
        <w:t>ESC</w:t>
      </w:r>
      <w:r w:rsidR="009B0C3C">
        <w:t xml:space="preserve"> maintains:</w:t>
      </w:r>
    </w:p>
    <w:p w14:paraId="088D423B" w14:textId="77777777" w:rsidR="009B0C3C" w:rsidRDefault="009B0C3C" w:rsidP="009B0C3C">
      <w:pPr>
        <w:spacing w:after="0" w:line="257" w:lineRule="auto"/>
      </w:pPr>
    </w:p>
    <w:p w14:paraId="2E328AAE" w14:textId="15441127" w:rsidR="009B0C3C" w:rsidRPr="005E78B2" w:rsidRDefault="009B0C3C" w:rsidP="009B0C3C">
      <w:pPr>
        <w:pStyle w:val="ListParagraph"/>
        <w:numPr>
          <w:ilvl w:val="0"/>
          <w:numId w:val="43"/>
        </w:numPr>
        <w:spacing w:after="0" w:line="257" w:lineRule="auto"/>
      </w:pPr>
      <w:r w:rsidRPr="005E78B2">
        <w:t xml:space="preserve">a </w:t>
      </w:r>
      <w:r w:rsidRPr="008429A9">
        <w:t>register of interests</w:t>
      </w:r>
      <w:r w:rsidRPr="005E78B2">
        <w:t xml:space="preserve"> for </w:t>
      </w:r>
      <w:r>
        <w:t>all employees including the Commissioner</w:t>
      </w:r>
      <w:r w:rsidRPr="005E78B2">
        <w:t xml:space="preserve">. The Commissioner and </w:t>
      </w:r>
      <w:r>
        <w:t xml:space="preserve">employees </w:t>
      </w:r>
      <w:r w:rsidRPr="005E78B2">
        <w:t xml:space="preserve">must complete a </w:t>
      </w:r>
      <w:r w:rsidRPr="008429A9">
        <w:t>form</w:t>
      </w:r>
      <w:r w:rsidRPr="005E78B2">
        <w:t xml:space="preserve"> listing their interests and identifying any actual or perceived conflicts of interest that may arise from these interests with their work </w:t>
      </w:r>
      <w:r>
        <w:t xml:space="preserve">for </w:t>
      </w:r>
      <w:r w:rsidR="0089780E">
        <w:t>ESC</w:t>
      </w:r>
      <w:r w:rsidRPr="005E78B2">
        <w:t>.</w:t>
      </w:r>
      <w:r>
        <w:t xml:space="preserve"> The form should be completed at least annually and/or within 20 working days of a new interest arising.</w:t>
      </w:r>
    </w:p>
    <w:p w14:paraId="63FF065B" w14:textId="77777777" w:rsidR="009B0C3C" w:rsidRPr="00912D97" w:rsidRDefault="009B0C3C" w:rsidP="009B0C3C">
      <w:pPr>
        <w:pStyle w:val="ListParagraph"/>
        <w:numPr>
          <w:ilvl w:val="0"/>
          <w:numId w:val="43"/>
        </w:numPr>
        <w:spacing w:after="0" w:line="257" w:lineRule="auto"/>
      </w:pPr>
      <w:r w:rsidRPr="005E78B2">
        <w:t xml:space="preserve">a </w:t>
      </w:r>
      <w:r w:rsidRPr="008429A9">
        <w:t>register of gifts and hospitality</w:t>
      </w:r>
      <w:r w:rsidRPr="005E78B2">
        <w:t xml:space="preserve"> listing all such that are offered and accepted.</w:t>
      </w:r>
    </w:p>
    <w:p w14:paraId="49A3C665" w14:textId="77777777" w:rsidR="009B0C3C" w:rsidRDefault="009B0C3C" w:rsidP="009B0C3C"/>
    <w:p w14:paraId="130D5756" w14:textId="77777777" w:rsidR="009B0C3C" w:rsidRPr="005E78B2" w:rsidRDefault="009B0C3C" w:rsidP="009B0C3C">
      <w:pPr>
        <w:pStyle w:val="Heading1"/>
      </w:pPr>
      <w:r w:rsidRPr="005E78B2">
        <w:t>Requirements and Responsibilities</w:t>
      </w:r>
    </w:p>
    <w:p w14:paraId="01DC3C83" w14:textId="3411DB41" w:rsidR="009B0C3C" w:rsidRPr="005E78B2" w:rsidRDefault="009B0C3C" w:rsidP="009B0C3C">
      <w:r>
        <w:t>E</w:t>
      </w:r>
      <w:r w:rsidRPr="00D03ED3">
        <w:t>mployee</w:t>
      </w:r>
      <w:r>
        <w:t>s</w:t>
      </w:r>
      <w:r w:rsidRPr="00D03ED3">
        <w:t xml:space="preserve"> working for </w:t>
      </w:r>
      <w:r w:rsidR="0089780E">
        <w:t>ESC</w:t>
      </w:r>
      <w:r w:rsidRPr="00D03ED3">
        <w:t xml:space="preserve"> must be, and be seen to be, honest, fair and impartial in the exercise of </w:t>
      </w:r>
      <w:r>
        <w:t>thei</w:t>
      </w:r>
      <w:r w:rsidRPr="00D03ED3">
        <w:t xml:space="preserve">r duties. </w:t>
      </w:r>
      <w:r w:rsidR="00AD01A6">
        <w:t>They</w:t>
      </w:r>
      <w:r w:rsidRPr="005E78B2">
        <w:t xml:space="preserve"> must respect all </w:t>
      </w:r>
      <w:r>
        <w:t xml:space="preserve">who have contact with </w:t>
      </w:r>
      <w:r w:rsidR="0089780E">
        <w:t>ESC</w:t>
      </w:r>
      <w:r>
        <w:t xml:space="preserve"> office</w:t>
      </w:r>
      <w:r w:rsidRPr="005E78B2">
        <w:t xml:space="preserve">, treating them with courtesy </w:t>
      </w:r>
      <w:r w:rsidR="00FA7F11">
        <w:t xml:space="preserve">and empathy </w:t>
      </w:r>
      <w:r w:rsidRPr="005E78B2">
        <w:t>at all times.</w:t>
      </w:r>
      <w:r>
        <w:t xml:space="preserve"> </w:t>
      </w:r>
      <w:r w:rsidR="00AD01A6">
        <w:t>Employees</w:t>
      </w:r>
      <w:r w:rsidRPr="005E78B2">
        <w:t xml:space="preserve"> should apply this Code to </w:t>
      </w:r>
      <w:r w:rsidR="00AD01A6">
        <w:t>thei</w:t>
      </w:r>
      <w:r w:rsidRPr="005E78B2">
        <w:t xml:space="preserve">r informal dealings </w:t>
      </w:r>
      <w:r>
        <w:t xml:space="preserve">where </w:t>
      </w:r>
      <w:r w:rsidR="00AD01A6">
        <w:t>they</w:t>
      </w:r>
      <w:r>
        <w:t xml:space="preserve"> are identifiable as a</w:t>
      </w:r>
      <w:r w:rsidR="00AD01A6">
        <w:t>n employee</w:t>
      </w:r>
      <w:r>
        <w:t xml:space="preserve"> of </w:t>
      </w:r>
      <w:r w:rsidR="0089780E">
        <w:t>ESC</w:t>
      </w:r>
      <w:r>
        <w:t xml:space="preserve"> </w:t>
      </w:r>
      <w:r w:rsidRPr="005E78B2">
        <w:t>no less scrupulously than in formal business situations.</w:t>
      </w:r>
    </w:p>
    <w:p w14:paraId="790A1EE4" w14:textId="77777777" w:rsidR="009B0C3C" w:rsidRDefault="009B0C3C" w:rsidP="009B0C3C"/>
    <w:p w14:paraId="144FFE9A" w14:textId="09C5B47A" w:rsidR="009B0C3C" w:rsidRPr="00D03ED3" w:rsidRDefault="009B0C3C" w:rsidP="009B0C3C">
      <w:r>
        <w:br w:type="page"/>
      </w:r>
      <w:r w:rsidR="00AD01A6">
        <w:lastRenderedPageBreak/>
        <w:t>Employees</w:t>
      </w:r>
      <w:r w:rsidRPr="00D03ED3">
        <w:t xml:space="preserve"> must not allow </w:t>
      </w:r>
      <w:r w:rsidR="00AD01A6">
        <w:t>their</w:t>
      </w:r>
      <w:r w:rsidRPr="00D03ED3">
        <w:t xml:space="preserve"> judgement or integrity to be compromised in fact or to be reasonably thought to have been compromised. In particular </w:t>
      </w:r>
      <w:r w:rsidR="00AD01A6">
        <w:t>they</w:t>
      </w:r>
      <w:r w:rsidRPr="00D03ED3">
        <w:t xml:space="preserve"> must not:</w:t>
      </w:r>
    </w:p>
    <w:p w14:paraId="5BE72865" w14:textId="4B623D86" w:rsidR="009B0C3C" w:rsidRPr="005E78B2" w:rsidRDefault="009B0C3C" w:rsidP="00AD01A6">
      <w:pPr>
        <w:pStyle w:val="ListParagraph"/>
        <w:numPr>
          <w:ilvl w:val="0"/>
          <w:numId w:val="44"/>
        </w:numPr>
      </w:pPr>
      <w:r w:rsidRPr="00D03ED3">
        <w:t xml:space="preserve">misuse information which </w:t>
      </w:r>
      <w:r w:rsidR="00AD01A6">
        <w:t>has been</w:t>
      </w:r>
      <w:r w:rsidRPr="00D03ED3">
        <w:t xml:space="preserve"> acquire</w:t>
      </w:r>
      <w:r w:rsidR="00AD01A6">
        <w:t>d</w:t>
      </w:r>
      <w:r w:rsidRPr="00D03ED3">
        <w:t xml:space="preserve"> in</w:t>
      </w:r>
      <w:r w:rsidRPr="005E78B2">
        <w:t xml:space="preserve"> the course of </w:t>
      </w:r>
      <w:r w:rsidR="00AD01A6">
        <w:t>thei</w:t>
      </w:r>
      <w:r w:rsidRPr="005E78B2">
        <w:t>r duties, or disclose</w:t>
      </w:r>
      <w:r>
        <w:t>, without authority,</w:t>
      </w:r>
      <w:r w:rsidRPr="005E78B2">
        <w:t xml:space="preserve"> information which is held in confidence by </w:t>
      </w:r>
      <w:r w:rsidR="0089780E">
        <w:t>ESC</w:t>
      </w:r>
      <w:r w:rsidRPr="005E78B2">
        <w:t>, or received in confidence from others</w:t>
      </w:r>
    </w:p>
    <w:p w14:paraId="4E058B59" w14:textId="095065F4" w:rsidR="009B0C3C" w:rsidRPr="005E78B2" w:rsidRDefault="009B0C3C" w:rsidP="00AD01A6">
      <w:pPr>
        <w:pStyle w:val="ListParagraph"/>
        <w:numPr>
          <w:ilvl w:val="0"/>
          <w:numId w:val="44"/>
        </w:numPr>
      </w:pPr>
      <w:r w:rsidRPr="005E78B2">
        <w:t xml:space="preserve">seek to frustrate the policies, decisions or actions of </w:t>
      </w:r>
      <w:r w:rsidR="0089780E">
        <w:t>the Commissioner</w:t>
      </w:r>
      <w:r w:rsidRPr="005E78B2">
        <w:t xml:space="preserve"> either by declining to take, or abstaining from, action which flows from </w:t>
      </w:r>
      <w:r>
        <w:t xml:space="preserve">the Commissioner’s </w:t>
      </w:r>
      <w:r w:rsidRPr="005E78B2">
        <w:t xml:space="preserve">decisions or by unauthorised, improper or premature disclosure of any information to which </w:t>
      </w:r>
      <w:r w:rsidR="00AD01A6">
        <w:t>they</w:t>
      </w:r>
      <w:r w:rsidRPr="005E78B2">
        <w:t xml:space="preserve"> have had access</w:t>
      </w:r>
    </w:p>
    <w:p w14:paraId="45BFBB4F" w14:textId="03CF1F47" w:rsidR="009B0C3C" w:rsidRPr="005E78B2" w:rsidRDefault="009B0C3C" w:rsidP="00AD01A6">
      <w:pPr>
        <w:pStyle w:val="ListParagraph"/>
        <w:numPr>
          <w:ilvl w:val="0"/>
          <w:numId w:val="44"/>
        </w:numPr>
      </w:pPr>
      <w:r w:rsidRPr="005E78B2">
        <w:t xml:space="preserve">take part in any </w:t>
      </w:r>
      <w:r>
        <w:t xml:space="preserve">party </w:t>
      </w:r>
      <w:r w:rsidRPr="005E78B2">
        <w:t xml:space="preserve">political activity (including campaigning) which compromises </w:t>
      </w:r>
      <w:r w:rsidR="00AD01A6">
        <w:t>thei</w:t>
      </w:r>
      <w:r w:rsidRPr="005E78B2">
        <w:t xml:space="preserve">r impartial service to </w:t>
      </w:r>
      <w:r w:rsidR="00674B66">
        <w:t>ESC</w:t>
      </w:r>
      <w:r w:rsidRPr="005E78B2">
        <w:t xml:space="preserve"> </w:t>
      </w:r>
    </w:p>
    <w:p w14:paraId="6781A7B4" w14:textId="28DC32F1" w:rsidR="009B0C3C" w:rsidRPr="005E78B2" w:rsidRDefault="009B0C3C" w:rsidP="00AD01A6">
      <w:pPr>
        <w:pStyle w:val="ListParagraph"/>
        <w:numPr>
          <w:ilvl w:val="0"/>
          <w:numId w:val="44"/>
        </w:numPr>
      </w:pPr>
      <w:r w:rsidRPr="005E78B2">
        <w:t xml:space="preserve">misuse </w:t>
      </w:r>
      <w:r w:rsidR="00AD01A6">
        <w:t>thei</w:t>
      </w:r>
      <w:r w:rsidRPr="005E78B2">
        <w:t xml:space="preserve">r official position, or information acquired in the course of </w:t>
      </w:r>
      <w:r w:rsidR="00AD01A6">
        <w:t>thei</w:t>
      </w:r>
      <w:r w:rsidRPr="005E78B2">
        <w:t xml:space="preserve">r official duties, to further </w:t>
      </w:r>
      <w:r w:rsidR="00AD01A6">
        <w:t>thei</w:t>
      </w:r>
      <w:r w:rsidRPr="005E78B2">
        <w:t xml:space="preserve">r private interests or those of others. Conflicts of interest may arise from financial interests and more broadly from official dealings with, or decisions in respect of, individuals who share </w:t>
      </w:r>
      <w:r w:rsidR="00AD01A6">
        <w:t>thei</w:t>
      </w:r>
      <w:r w:rsidRPr="005E78B2">
        <w:t xml:space="preserve">r private interests (for example </w:t>
      </w:r>
      <w:r>
        <w:t>through</w:t>
      </w:r>
      <w:r w:rsidRPr="005E78B2">
        <w:t xml:space="preserve"> membership of societies, clubs and other organisations). Conflicts of interest, or the perception that such conflicts exist, may also arise when the Commissioner or any </w:t>
      </w:r>
      <w:r w:rsidR="00674B66">
        <w:t>employee</w:t>
      </w:r>
      <w:r w:rsidRPr="005E78B2">
        <w:t xml:space="preserve"> provides a reference for either an individual or commercial firm. Where a conflict of interest arises, </w:t>
      </w:r>
      <w:r w:rsidR="00AD01A6">
        <w:t>they</w:t>
      </w:r>
      <w:r w:rsidRPr="005E78B2">
        <w:t xml:space="preserve"> must declare </w:t>
      </w:r>
      <w:r w:rsidR="00AD01A6">
        <w:t>thei</w:t>
      </w:r>
      <w:r w:rsidRPr="005E78B2">
        <w:t xml:space="preserve">r interest to the Commissioner so that a decision can be made on how best to proceed. </w:t>
      </w:r>
    </w:p>
    <w:p w14:paraId="740B94B5" w14:textId="126B5C1C" w:rsidR="009B0C3C" w:rsidRPr="005E78B2" w:rsidRDefault="009B0C3C" w:rsidP="00AD01A6">
      <w:pPr>
        <w:pStyle w:val="ListParagraph"/>
        <w:numPr>
          <w:ilvl w:val="0"/>
          <w:numId w:val="44"/>
        </w:numPr>
      </w:pPr>
      <w:r w:rsidRPr="005E78B2">
        <w:t xml:space="preserve">act in order to gain </w:t>
      </w:r>
      <w:r>
        <w:t xml:space="preserve">inappropriate </w:t>
      </w:r>
      <w:r w:rsidRPr="005E78B2">
        <w:t xml:space="preserve">financial or other material benefit for </w:t>
      </w:r>
      <w:r w:rsidR="00AD01A6">
        <w:t xml:space="preserve">their </w:t>
      </w:r>
      <w:r w:rsidRPr="005E78B2">
        <w:t>self,</w:t>
      </w:r>
      <w:r w:rsidR="00AD01A6">
        <w:t xml:space="preserve"> </w:t>
      </w:r>
      <w:r w:rsidRPr="005E78B2">
        <w:t>family or friends</w:t>
      </w:r>
    </w:p>
    <w:p w14:paraId="7B54C84E" w14:textId="19AF3EAA" w:rsidR="009B0C3C" w:rsidRDefault="009B0C3C" w:rsidP="00AD01A6">
      <w:pPr>
        <w:pStyle w:val="ListParagraph"/>
        <w:numPr>
          <w:ilvl w:val="0"/>
          <w:numId w:val="44"/>
        </w:numPr>
      </w:pPr>
      <w:r w:rsidRPr="005E78B2">
        <w:t xml:space="preserve">accept gifts, hospitality or benefits of any kind from a third party which might be seen to compromise </w:t>
      </w:r>
      <w:r w:rsidR="00AD01A6">
        <w:t>thei</w:t>
      </w:r>
      <w:r w:rsidRPr="005E78B2">
        <w:t>r personal judgement or integrity</w:t>
      </w:r>
      <w:r>
        <w:t xml:space="preserve"> in relation to the work of </w:t>
      </w:r>
      <w:r w:rsidR="0089780E">
        <w:t>ESC</w:t>
      </w:r>
    </w:p>
    <w:p w14:paraId="7E954F8B" w14:textId="77777777" w:rsidR="009B0C3C" w:rsidRPr="00AD01A6" w:rsidRDefault="009B0C3C" w:rsidP="00AD01A6">
      <w:pPr>
        <w:pStyle w:val="ListParagraph"/>
        <w:numPr>
          <w:ilvl w:val="0"/>
          <w:numId w:val="44"/>
        </w:numPr>
        <w:rPr>
          <w:rStyle w:val="Emphasis"/>
          <w:rFonts w:ascii="Verdana" w:hAnsi="Verdana" w:cs="Arial"/>
          <w:i w:val="0"/>
          <w:iCs w:val="0"/>
        </w:rPr>
      </w:pPr>
      <w:r w:rsidRPr="00AD01A6">
        <w:rPr>
          <w:iCs/>
        </w:rPr>
        <w:t>offer a gift, hospitality or benefit of any kind to a stakeholder, supplier or other person with the intention of gaining a business and/or personal advantage. Where offering a business gift or hospitality is considered appropriate, for example paying for a meal, this should only be offered with the prior approval of the Commissioner.</w:t>
      </w:r>
    </w:p>
    <w:p w14:paraId="41198766" w14:textId="77777777" w:rsidR="009B0C3C" w:rsidRDefault="009B0C3C" w:rsidP="009B0C3C">
      <w:pPr>
        <w:rPr>
          <w:u w:val="single"/>
        </w:rPr>
      </w:pPr>
    </w:p>
    <w:p w14:paraId="508577B9" w14:textId="54F5A066" w:rsidR="009B0C3C" w:rsidRPr="005E78B2" w:rsidRDefault="009B0C3C" w:rsidP="00AD01A6">
      <w:pPr>
        <w:pStyle w:val="Heading2"/>
      </w:pPr>
      <w:r w:rsidRPr="005E78B2">
        <w:t xml:space="preserve">Duty and Private Interest - each </w:t>
      </w:r>
      <w:r w:rsidR="00AD01A6">
        <w:t>employee</w:t>
      </w:r>
      <w:r w:rsidRPr="005E78B2">
        <w:t xml:space="preserve"> will: </w:t>
      </w:r>
    </w:p>
    <w:p w14:paraId="2B4EE32D" w14:textId="17847D11" w:rsidR="009B0C3C" w:rsidRPr="005E78B2" w:rsidRDefault="009B0C3C" w:rsidP="00560901">
      <w:pPr>
        <w:pStyle w:val="ListParagraph"/>
        <w:numPr>
          <w:ilvl w:val="0"/>
          <w:numId w:val="45"/>
        </w:numPr>
      </w:pPr>
      <w:r w:rsidRPr="005E78B2">
        <w:t xml:space="preserve">recognise that their overriding duty is to </w:t>
      </w:r>
      <w:r>
        <w:t xml:space="preserve">the work of </w:t>
      </w:r>
      <w:r w:rsidR="0089780E">
        <w:t>ESC</w:t>
      </w:r>
    </w:p>
    <w:p w14:paraId="0EDA7429" w14:textId="77777777" w:rsidR="00560901" w:rsidRDefault="009B0C3C" w:rsidP="00905F29">
      <w:pPr>
        <w:pStyle w:val="ListParagraph"/>
        <w:numPr>
          <w:ilvl w:val="0"/>
          <w:numId w:val="45"/>
        </w:numPr>
      </w:pPr>
      <w:r>
        <w:t>avoid doing anything which</w:t>
      </w:r>
      <w:r w:rsidRPr="005E78B2">
        <w:t xml:space="preserve"> could not be justified to the Commissioner, </w:t>
      </w:r>
      <w:r>
        <w:t xml:space="preserve">the Scottish </w:t>
      </w:r>
      <w:r w:rsidRPr="005E78B2">
        <w:t>Parliament, or the public</w:t>
      </w:r>
      <w:r w:rsidR="00560901">
        <w:t>.</w:t>
      </w:r>
    </w:p>
    <w:p w14:paraId="7557D576" w14:textId="2A326F40" w:rsidR="009B0C3C" w:rsidRPr="005E78B2" w:rsidRDefault="009B0C3C" w:rsidP="00905F29">
      <w:pPr>
        <w:pStyle w:val="ListParagraph"/>
        <w:numPr>
          <w:ilvl w:val="0"/>
          <w:numId w:val="45"/>
        </w:numPr>
      </w:pPr>
      <w:r w:rsidRPr="005E78B2">
        <w:t xml:space="preserve">understand that it is not enough to avoid actual impropriety and at all times avoid situations which could give rise to suspicion or the appearance of improper conduct. As a consequence of this, any </w:t>
      </w:r>
      <w:r w:rsidR="00AD01A6">
        <w:t>employee</w:t>
      </w:r>
      <w:r w:rsidRPr="005E78B2">
        <w:t xml:space="preserve"> must immediately declare to</w:t>
      </w:r>
      <w:r w:rsidR="0089780E">
        <w:t xml:space="preserve"> a member of the senior management team</w:t>
      </w:r>
      <w:r w:rsidRPr="005E78B2">
        <w:t xml:space="preserve"> their intentions if they apply for any position</w:t>
      </w:r>
      <w:r>
        <w:t xml:space="preserve"> or propose to take any action</w:t>
      </w:r>
      <w:r w:rsidRPr="005E78B2">
        <w:t xml:space="preserve"> that may be reasonably viewed as giving rise to an actual or perceived conflict. </w:t>
      </w:r>
      <w:r w:rsidR="0089780E">
        <w:t>ESC</w:t>
      </w:r>
      <w:r w:rsidRPr="005E78B2">
        <w:t xml:space="preserve"> may suspend that individual from their usual duties or contract for the period during which that individual applies for any such position</w:t>
      </w:r>
      <w:r>
        <w:t xml:space="preserve">. </w:t>
      </w:r>
      <w:r w:rsidRPr="005E78B2">
        <w:t xml:space="preserve">Specifically, </w:t>
      </w:r>
      <w:r w:rsidR="0089780E">
        <w:t>ESC</w:t>
      </w:r>
      <w:r w:rsidRPr="005E78B2">
        <w:t xml:space="preserve"> may suspend from normal duties any individual who stands as an MP, MSP, MEP, Local Councillor or political Party Officer and may revoke any contract </w:t>
      </w:r>
      <w:r>
        <w:t xml:space="preserve">made with the individual </w:t>
      </w:r>
      <w:r w:rsidRPr="005E78B2">
        <w:t xml:space="preserve">should that individual </w:t>
      </w:r>
      <w:r>
        <w:t xml:space="preserve">fail to resign immediately on being </w:t>
      </w:r>
      <w:r w:rsidRPr="005E78B2">
        <w:t>elected</w:t>
      </w:r>
      <w:r>
        <w:t xml:space="preserve"> or appointed</w:t>
      </w:r>
      <w:r w:rsidR="00560901">
        <w:t>.</w:t>
      </w:r>
      <w:r w:rsidRPr="005E78B2">
        <w:t xml:space="preserve"> </w:t>
      </w:r>
    </w:p>
    <w:p w14:paraId="45A4FB04" w14:textId="1129B467" w:rsidR="009B0C3C" w:rsidRPr="005E78B2" w:rsidRDefault="009B0C3C" w:rsidP="00560901">
      <w:pPr>
        <w:pStyle w:val="ListParagraph"/>
        <w:numPr>
          <w:ilvl w:val="0"/>
          <w:numId w:val="45"/>
        </w:numPr>
      </w:pPr>
      <w:r w:rsidRPr="005E78B2">
        <w:t xml:space="preserve">take </w:t>
      </w:r>
      <w:r>
        <w:t xml:space="preserve">work-related </w:t>
      </w:r>
      <w:r w:rsidRPr="005E78B2">
        <w:t xml:space="preserve">decisions solely in terms of the </w:t>
      </w:r>
      <w:r>
        <w:t>purpose and objectives</w:t>
      </w:r>
      <w:r w:rsidRPr="005E78B2">
        <w:t xml:space="preserve"> of </w:t>
      </w:r>
      <w:r w:rsidR="0089780E">
        <w:t>ESC</w:t>
      </w:r>
      <w:r w:rsidRPr="005E78B2">
        <w:t xml:space="preserve"> and never to gain financial or other material benefits for themselves or others</w:t>
      </w:r>
    </w:p>
    <w:p w14:paraId="653E98B3" w14:textId="4E896FF7" w:rsidR="009B0C3C" w:rsidRPr="005E78B2" w:rsidRDefault="009B0C3C" w:rsidP="00560901">
      <w:pPr>
        <w:pStyle w:val="ListParagraph"/>
        <w:numPr>
          <w:ilvl w:val="0"/>
          <w:numId w:val="45"/>
        </w:numPr>
      </w:pPr>
      <w:r w:rsidRPr="005E78B2">
        <w:lastRenderedPageBreak/>
        <w:t xml:space="preserve">avoid giving references for individuals or commercial firms where these set up the potential for an actual or perceived conflict of interest. The Commissioner can delegate the authority to provide references as appropriate. </w:t>
      </w:r>
      <w:r w:rsidR="0089780E">
        <w:t>ESC</w:t>
      </w:r>
      <w:r w:rsidRPr="005E78B2">
        <w:t xml:space="preserve"> can provide one of two types of reference:</w:t>
      </w:r>
    </w:p>
    <w:p w14:paraId="2D74F979" w14:textId="5A19E0DB" w:rsidR="009B0C3C" w:rsidRPr="005E78B2" w:rsidRDefault="009B0C3C" w:rsidP="00560901">
      <w:pPr>
        <w:pStyle w:val="ListParagraph"/>
        <w:numPr>
          <w:ilvl w:val="1"/>
          <w:numId w:val="45"/>
        </w:numPr>
      </w:pPr>
      <w:r w:rsidRPr="005E78B2">
        <w:t>where substantive information</w:t>
      </w:r>
      <w:r w:rsidR="00AD01A6">
        <w:t xml:space="preserve"> is held by </w:t>
      </w:r>
      <w:r w:rsidR="0089780E">
        <w:t>ESC</w:t>
      </w:r>
      <w:r w:rsidR="00AD01A6">
        <w:t xml:space="preserve"> relating to</w:t>
      </w:r>
      <w:r w:rsidRPr="005E78B2">
        <w:t xml:space="preserve"> an individual’s or contractor’s performance in a role, such as evidence of good or poor performance against a contract or service level agreement, this may be used as content for a reference.</w:t>
      </w:r>
    </w:p>
    <w:p w14:paraId="7B9366C1" w14:textId="77777777" w:rsidR="009B0C3C" w:rsidRPr="005E78B2" w:rsidRDefault="009B0C3C" w:rsidP="00560901">
      <w:pPr>
        <w:pStyle w:val="ListParagraph"/>
        <w:numPr>
          <w:ilvl w:val="1"/>
          <w:numId w:val="45"/>
        </w:numPr>
      </w:pPr>
      <w:r w:rsidRPr="005E78B2">
        <w:t>where no such information on individuals is held, references may only refer to other factual information held on that individual (such as length of term served)</w:t>
      </w:r>
    </w:p>
    <w:p w14:paraId="60D9E51C" w14:textId="77777777" w:rsidR="009B0C3C" w:rsidRPr="005E78B2" w:rsidRDefault="009B0C3C" w:rsidP="00560901">
      <w:pPr>
        <w:pStyle w:val="ListParagraph"/>
        <w:numPr>
          <w:ilvl w:val="0"/>
          <w:numId w:val="45"/>
        </w:numPr>
      </w:pPr>
      <w:r w:rsidRPr="005E78B2">
        <w:t>In all cases, no reference can be provided unless the person providing it has consulted the Commissioner on the content.</w:t>
      </w:r>
    </w:p>
    <w:p w14:paraId="22374BB3" w14:textId="77777777" w:rsidR="009B0C3C" w:rsidRPr="005E78B2" w:rsidRDefault="009B0C3C" w:rsidP="009B0C3C">
      <w:pPr>
        <w:rPr>
          <w:rFonts w:ascii="Verdana" w:hAnsi="Verdana" w:cs="Arial"/>
        </w:rPr>
      </w:pPr>
    </w:p>
    <w:p w14:paraId="7D64BDCC" w14:textId="0923B0CC" w:rsidR="009B0C3C" w:rsidRPr="005E78B2" w:rsidRDefault="009B0C3C" w:rsidP="00560901">
      <w:pPr>
        <w:pStyle w:val="Heading2"/>
      </w:pPr>
      <w:r w:rsidRPr="005E78B2">
        <w:t xml:space="preserve">Personal Interest - </w:t>
      </w:r>
      <w:r>
        <w:t>e</w:t>
      </w:r>
      <w:r w:rsidRPr="005E78B2">
        <w:t xml:space="preserve">ach </w:t>
      </w:r>
      <w:r w:rsidR="00560901">
        <w:t>employee</w:t>
      </w:r>
      <w:r w:rsidRPr="005E78B2">
        <w:t xml:space="preserve"> will: </w:t>
      </w:r>
    </w:p>
    <w:p w14:paraId="1CD22C67" w14:textId="77777777" w:rsidR="009B0C3C" w:rsidRPr="005E78B2" w:rsidRDefault="009B0C3C" w:rsidP="00560901">
      <w:pPr>
        <w:pStyle w:val="ListParagraph"/>
        <w:numPr>
          <w:ilvl w:val="0"/>
          <w:numId w:val="46"/>
        </w:numPr>
      </w:pPr>
      <w:r w:rsidRPr="005E78B2">
        <w:t xml:space="preserve">disclose precisely any direct or indirect financial interest or any other interests which are not financial but which might influence judgement or give the impression that the person was acting for personal motives. Any person declaring such an interest will withdraw from </w:t>
      </w:r>
      <w:r>
        <w:t>any actions or</w:t>
      </w:r>
      <w:r w:rsidRPr="005E78B2">
        <w:t xml:space="preserve"> meeting in which such matters are </w:t>
      </w:r>
      <w:r>
        <w:t>relevant</w:t>
      </w:r>
    </w:p>
    <w:p w14:paraId="2BE67CDB" w14:textId="77777777" w:rsidR="00560901" w:rsidRDefault="009B0C3C" w:rsidP="00946668">
      <w:pPr>
        <w:pStyle w:val="ListParagraph"/>
        <w:numPr>
          <w:ilvl w:val="0"/>
          <w:numId w:val="46"/>
        </w:numPr>
      </w:pPr>
      <w:r w:rsidRPr="005E78B2">
        <w:t>ensure that private or personal financial interests never influence decisions and that any position within the organisation is never used for personal gain</w:t>
      </w:r>
    </w:p>
    <w:p w14:paraId="44A2DE72" w14:textId="48FD8D96" w:rsidR="009B0C3C" w:rsidRPr="005E78B2" w:rsidRDefault="009B0C3C" w:rsidP="00946668">
      <w:pPr>
        <w:pStyle w:val="ListParagraph"/>
        <w:numPr>
          <w:ilvl w:val="0"/>
          <w:numId w:val="46"/>
        </w:numPr>
      </w:pPr>
      <w:r w:rsidRPr="005E78B2">
        <w:t xml:space="preserve">ensure that no special advantage is gained by virtue of their position, by using the services of a consultant, contractor, professional advisor or other individual or firm that works for </w:t>
      </w:r>
      <w:r w:rsidR="00A16E3D">
        <w:t>ESC</w:t>
      </w:r>
      <w:r w:rsidRPr="005E78B2">
        <w:t>. If it is intended to use the services of any such body or individual, the arrangement should be declared to the Commissioner before the transaction takes place</w:t>
      </w:r>
    </w:p>
    <w:p w14:paraId="373C8BD0" w14:textId="77777777" w:rsidR="009B0C3C" w:rsidRDefault="009B0C3C" w:rsidP="009B0C3C">
      <w:pPr>
        <w:rPr>
          <w:rFonts w:ascii="Verdana" w:hAnsi="Verdana" w:cs="Arial"/>
          <w:u w:val="single"/>
        </w:rPr>
      </w:pPr>
    </w:p>
    <w:p w14:paraId="486D9BAF" w14:textId="4C19F83D" w:rsidR="009B0C3C" w:rsidRPr="00560901" w:rsidRDefault="009B0C3C" w:rsidP="00560901">
      <w:pPr>
        <w:pStyle w:val="ESC2"/>
        <w:ind w:firstLine="0"/>
      </w:pPr>
      <w:r w:rsidRPr="00560901">
        <w:t xml:space="preserve">Use of Confidential and Private Information – each </w:t>
      </w:r>
      <w:r w:rsidR="00560901">
        <w:t>employee</w:t>
      </w:r>
      <w:r w:rsidRPr="00560901">
        <w:t xml:space="preserve"> will: </w:t>
      </w:r>
    </w:p>
    <w:p w14:paraId="2FFA7453" w14:textId="7A84F332" w:rsidR="009B0C3C" w:rsidRPr="005E78B2" w:rsidRDefault="009B0C3C" w:rsidP="00560901">
      <w:pPr>
        <w:pStyle w:val="ListParagraph"/>
        <w:numPr>
          <w:ilvl w:val="0"/>
          <w:numId w:val="47"/>
        </w:numPr>
      </w:pPr>
      <w:r w:rsidRPr="005E78B2">
        <w:t xml:space="preserve">ensure that confidential information, acquired as a result of their position with </w:t>
      </w:r>
      <w:r w:rsidR="00A16E3D">
        <w:t>ESC</w:t>
      </w:r>
      <w:r w:rsidRPr="005E78B2">
        <w:t>, is not disclosed to anyone other than those who have the right to the information</w:t>
      </w:r>
      <w:r>
        <w:t xml:space="preserve"> (see the Confidentiality Policy for further information).</w:t>
      </w:r>
    </w:p>
    <w:p w14:paraId="364D4F46" w14:textId="77777777" w:rsidR="009B0C3C" w:rsidRPr="005E78B2" w:rsidRDefault="009B0C3C" w:rsidP="00560901">
      <w:pPr>
        <w:pStyle w:val="ListParagraph"/>
        <w:numPr>
          <w:ilvl w:val="0"/>
          <w:numId w:val="47"/>
        </w:numPr>
      </w:pPr>
      <w:r w:rsidRPr="005E78B2">
        <w:t xml:space="preserve">ensure that </w:t>
      </w:r>
      <w:r>
        <w:t xml:space="preserve">such </w:t>
      </w:r>
      <w:r w:rsidRPr="005E78B2">
        <w:t xml:space="preserve">confidential information is not used for the personal advantage of themselves or others known to them. </w:t>
      </w:r>
    </w:p>
    <w:p w14:paraId="0C90D823" w14:textId="0CEAD121" w:rsidR="009B0C3C" w:rsidRPr="005E78B2" w:rsidRDefault="009B0C3C" w:rsidP="00560901">
      <w:pPr>
        <w:pStyle w:val="ESC2"/>
      </w:pPr>
      <w:r w:rsidRPr="005E78B2">
        <w:br/>
        <w:t xml:space="preserve">Gifts and Hospitality – </w:t>
      </w:r>
      <w:r>
        <w:t>e</w:t>
      </w:r>
      <w:r w:rsidRPr="005E78B2">
        <w:t xml:space="preserve">ach </w:t>
      </w:r>
      <w:r w:rsidR="00560901">
        <w:t>employee</w:t>
      </w:r>
      <w:r w:rsidRPr="005E78B2">
        <w:t xml:space="preserve"> will:</w:t>
      </w:r>
    </w:p>
    <w:p w14:paraId="2BC05E6E" w14:textId="57675095" w:rsidR="009B0C3C" w:rsidRDefault="009B0C3C" w:rsidP="00560901">
      <w:pPr>
        <w:pStyle w:val="ListParagraph"/>
        <w:numPr>
          <w:ilvl w:val="0"/>
          <w:numId w:val="48"/>
        </w:numPr>
      </w:pPr>
      <w:r w:rsidRPr="005E78B2">
        <w:t xml:space="preserve">not accept any offer by way of gift or hospitality which could give rise to a reasonable suspicion </w:t>
      </w:r>
      <w:r>
        <w:t xml:space="preserve">that they might be influenced as </w:t>
      </w:r>
      <w:r w:rsidR="00A16E3D">
        <w:t>an employee of ESC</w:t>
      </w:r>
      <w:r>
        <w:t xml:space="preserve"> </w:t>
      </w:r>
      <w:r w:rsidRPr="005E78B2">
        <w:t>to show favour, or disadvantage, to any individual or organisation</w:t>
      </w:r>
    </w:p>
    <w:p w14:paraId="0DF35FC8" w14:textId="77777777" w:rsidR="009B0C3C" w:rsidRPr="005E78B2" w:rsidRDefault="009B0C3C" w:rsidP="00560901">
      <w:pPr>
        <w:pStyle w:val="ListParagraph"/>
        <w:numPr>
          <w:ilvl w:val="0"/>
          <w:numId w:val="48"/>
        </w:numPr>
      </w:pPr>
      <w:r>
        <w:t>decline to</w:t>
      </w:r>
      <w:r w:rsidRPr="005E78B2">
        <w:t xml:space="preserve"> accept </w:t>
      </w:r>
      <w:r>
        <w:t xml:space="preserve">such </w:t>
      </w:r>
      <w:r w:rsidRPr="005E78B2">
        <w:t>gifts other than those</w:t>
      </w:r>
      <w:r>
        <w:t xml:space="preserve"> which are obviously modest, including </w:t>
      </w:r>
      <w:r w:rsidRPr="005E78B2">
        <w:t>seasonal gifts like a calendar or diary</w:t>
      </w:r>
      <w:r>
        <w:t>, or whose refusal might reasonably be anticipated to cause offence</w:t>
      </w:r>
    </w:p>
    <w:p w14:paraId="4CAE2983" w14:textId="77777777" w:rsidR="009B0C3C" w:rsidRPr="005E78B2" w:rsidRDefault="009B0C3C" w:rsidP="00560901">
      <w:pPr>
        <w:pStyle w:val="ListParagraph"/>
        <w:numPr>
          <w:ilvl w:val="0"/>
          <w:numId w:val="48"/>
        </w:numPr>
      </w:pPr>
      <w:r w:rsidRPr="005E78B2">
        <w:t xml:space="preserve">consider whether there may be a reasonable perception that any </w:t>
      </w:r>
      <w:r>
        <w:t xml:space="preserve">such </w:t>
      </w:r>
      <w:r w:rsidRPr="005E78B2">
        <w:t xml:space="preserve">gift received by their spouse or </w:t>
      </w:r>
      <w:r>
        <w:t>partner</w:t>
      </w:r>
      <w:r w:rsidRPr="005E78B2">
        <w:t xml:space="preserve"> or by any company in which they have a controlling interest, or by a partnership of which they are a partner, can or would influence their judgement </w:t>
      </w:r>
    </w:p>
    <w:p w14:paraId="507B66B9" w14:textId="77777777" w:rsidR="009B0C3C" w:rsidRPr="005E78B2" w:rsidRDefault="009B0C3C" w:rsidP="00560901">
      <w:pPr>
        <w:pStyle w:val="ListParagraph"/>
        <w:numPr>
          <w:ilvl w:val="0"/>
          <w:numId w:val="48"/>
        </w:numPr>
      </w:pPr>
      <w:r w:rsidRPr="005E78B2">
        <w:lastRenderedPageBreak/>
        <w:t>treat with caution any offer of gift, favour or hospitality made to them personally</w:t>
      </w:r>
      <w:r>
        <w:t xml:space="preserve"> and ensure that they discuss the offer with their line manager.</w:t>
      </w:r>
    </w:p>
    <w:p w14:paraId="2920A2C5" w14:textId="5596584B" w:rsidR="009B0C3C" w:rsidRPr="005E78B2" w:rsidRDefault="009B0C3C" w:rsidP="00560901">
      <w:pPr>
        <w:pStyle w:val="ListParagraph"/>
        <w:numPr>
          <w:ilvl w:val="0"/>
          <w:numId w:val="48"/>
        </w:numPr>
      </w:pPr>
      <w:r w:rsidRPr="005E78B2">
        <w:t xml:space="preserve">refuse hospitality other than normal hospitality associated with their duties, such as a working lunch when representing </w:t>
      </w:r>
      <w:r w:rsidR="00A16E3D">
        <w:t>ESC</w:t>
      </w:r>
      <w:r w:rsidRPr="005E78B2">
        <w:t xml:space="preserve"> at an official event.</w:t>
      </w:r>
    </w:p>
    <w:p w14:paraId="6411380E" w14:textId="26D890E4" w:rsidR="009B0C3C" w:rsidRDefault="009B0C3C" w:rsidP="00560901">
      <w:pPr>
        <w:pStyle w:val="ListParagraph"/>
        <w:numPr>
          <w:ilvl w:val="0"/>
          <w:numId w:val="48"/>
        </w:numPr>
      </w:pPr>
      <w:r w:rsidRPr="00DC4262">
        <w:t xml:space="preserve">record gifts and hospitality accepted on the register set up for that purpose. </w:t>
      </w:r>
    </w:p>
    <w:p w14:paraId="5D3B357F" w14:textId="77777777" w:rsidR="00560901" w:rsidRPr="00DC4262" w:rsidRDefault="00560901" w:rsidP="00560901"/>
    <w:p w14:paraId="03A05EC9" w14:textId="71F388EB" w:rsidR="009B0C3C" w:rsidRPr="00D03ED3" w:rsidRDefault="009B0C3C" w:rsidP="00560901">
      <w:pPr>
        <w:pStyle w:val="Heading1"/>
      </w:pPr>
      <w:r w:rsidRPr="00D03ED3">
        <w:t xml:space="preserve">Breaches of this Code </w:t>
      </w:r>
    </w:p>
    <w:p w14:paraId="1739994A" w14:textId="77777777" w:rsidR="00A16E3D" w:rsidRDefault="00A16E3D" w:rsidP="00A16E3D">
      <w:pPr>
        <w:spacing w:after="0" w:line="240" w:lineRule="auto"/>
      </w:pPr>
      <w:r>
        <w:t xml:space="preserve">Anyone who does not comply with this policy, and is directly employed by ESC, may be subject to disciplinary action as set out in the disciplinary procedures.  </w:t>
      </w:r>
    </w:p>
    <w:p w14:paraId="17BA795D" w14:textId="77777777" w:rsidR="00A16E3D" w:rsidRDefault="00A16E3D" w:rsidP="00A16E3D">
      <w:pPr>
        <w:spacing w:after="0" w:line="240" w:lineRule="auto"/>
      </w:pPr>
    </w:p>
    <w:p w14:paraId="78B04169" w14:textId="7AA5E02A" w:rsidR="008C0BCD" w:rsidRDefault="00A16E3D" w:rsidP="00A16E3D">
      <w:pPr>
        <w:spacing w:after="0" w:line="240" w:lineRule="auto"/>
      </w:pPr>
      <w:r>
        <w:t>Any other person covered by this policy, and found not to comply, will be reported to the relevant office/employer.  This may also result in ESC terminating any contract which has been affected by the breach.</w:t>
      </w:r>
    </w:p>
    <w:p w14:paraId="4895AEC2" w14:textId="315E19ED" w:rsidR="00A16E3D" w:rsidRDefault="00A16E3D" w:rsidP="00A16E3D">
      <w:pPr>
        <w:spacing w:after="0" w:line="240" w:lineRule="auto"/>
        <w:rPr>
          <w:rFonts w:cs="Arial"/>
          <w:color w:val="FF0000"/>
          <w:szCs w:val="24"/>
        </w:rPr>
      </w:pPr>
    </w:p>
    <w:p w14:paraId="02155D96" w14:textId="77777777" w:rsidR="00A16E3D" w:rsidRDefault="00A16E3D" w:rsidP="00A16E3D">
      <w:pPr>
        <w:spacing w:after="0" w:line="240" w:lineRule="auto"/>
        <w:rPr>
          <w:rFonts w:cs="Arial"/>
          <w:color w:val="FF0000"/>
          <w:szCs w:val="24"/>
        </w:rPr>
      </w:pPr>
    </w:p>
    <w:p w14:paraId="2725F27C" w14:textId="77777777" w:rsidR="00A16E3D" w:rsidRPr="00A16E3D" w:rsidRDefault="00A16E3D" w:rsidP="00A16E3D">
      <w:pPr>
        <w:spacing w:after="0" w:line="240" w:lineRule="auto"/>
        <w:rPr>
          <w:rFonts w:cs="Arial"/>
          <w:b/>
          <w:sz w:val="20"/>
          <w:szCs w:val="20"/>
        </w:rPr>
      </w:pPr>
      <w:bookmarkStart w:id="8" w:name="procedureformal"/>
      <w:bookmarkStart w:id="9" w:name="_Formal_stage"/>
      <w:bookmarkEnd w:id="8"/>
      <w:bookmarkEnd w:id="9"/>
      <w:r w:rsidRPr="00A16E3D">
        <w:rPr>
          <w:rFonts w:cs="Arial"/>
          <w:b/>
          <w:color w:val="00A19A" w:themeColor="accent2"/>
          <w:sz w:val="20"/>
          <w:szCs w:val="20"/>
        </w:rPr>
        <w:t>Equality Impact Assessment</w:t>
      </w:r>
    </w:p>
    <w:p w14:paraId="75D4482D" w14:textId="77777777" w:rsidR="00A16E3D" w:rsidRPr="00A16E3D" w:rsidRDefault="00A16E3D" w:rsidP="00A16E3D">
      <w:pPr>
        <w:spacing w:after="0" w:line="240" w:lineRule="auto"/>
        <w:rPr>
          <w:rFonts w:cs="Arial"/>
          <w:sz w:val="20"/>
          <w:szCs w:val="20"/>
        </w:rPr>
      </w:pPr>
      <w:r w:rsidRPr="00A16E3D">
        <w:rPr>
          <w:rFonts w:cs="Arial"/>
          <w:color w:val="808080"/>
          <w:sz w:val="20"/>
          <w:szCs w:val="20"/>
        </w:rPr>
        <w:t>Does this policy comply with the general Public Sector Equality Duty (s149 Equality Act 2010)?</w:t>
      </w:r>
      <w:r w:rsidRPr="00A16E3D">
        <w:rPr>
          <w:rFonts w:cs="Arial"/>
          <w:sz w:val="20"/>
          <w:szCs w:val="20"/>
        </w:rPr>
        <w:t xml:space="preserve"> </w:t>
      </w:r>
    </w:p>
    <w:p w14:paraId="6BE1CAF9" w14:textId="77777777" w:rsidR="00A16E3D" w:rsidRPr="00A16E3D" w:rsidRDefault="00A16E3D" w:rsidP="00A16E3D">
      <w:pPr>
        <w:spacing w:after="0" w:line="240" w:lineRule="auto"/>
        <w:rPr>
          <w:rFonts w:cs="Arial"/>
          <w:sz w:val="20"/>
          <w:szCs w:val="20"/>
        </w:rPr>
      </w:pPr>
      <w:r w:rsidRPr="00A16E3D">
        <w:rPr>
          <w:rFonts w:cs="Arial"/>
          <w:sz w:val="20"/>
          <w:szCs w:val="20"/>
        </w:rPr>
        <w:t>This policy applies to all employees. Its impact was considered when drafting. We consulted with all employees prior to publication to identify and address any issues.</w:t>
      </w:r>
    </w:p>
    <w:p w14:paraId="5034B090" w14:textId="77777777" w:rsidR="00A16E3D" w:rsidRPr="00A16E3D" w:rsidRDefault="00A16E3D" w:rsidP="00A16E3D">
      <w:pPr>
        <w:spacing w:after="0" w:line="240" w:lineRule="auto"/>
        <w:rPr>
          <w:rFonts w:cs="Arial"/>
          <w:sz w:val="20"/>
          <w:szCs w:val="20"/>
        </w:rPr>
      </w:pPr>
    </w:p>
    <w:p w14:paraId="106652C4" w14:textId="77777777" w:rsidR="00A16E3D" w:rsidRPr="00A16E3D" w:rsidRDefault="00A16E3D" w:rsidP="00A16E3D">
      <w:pPr>
        <w:spacing w:after="0" w:line="240" w:lineRule="auto"/>
        <w:rPr>
          <w:rFonts w:cs="Arial"/>
          <w:b/>
          <w:color w:val="00A19A" w:themeColor="accent2"/>
          <w:sz w:val="20"/>
          <w:szCs w:val="20"/>
        </w:rPr>
      </w:pPr>
      <w:r w:rsidRPr="00A16E3D">
        <w:rPr>
          <w:rFonts w:cs="Arial"/>
          <w:b/>
          <w:color w:val="00A19A" w:themeColor="accent2"/>
          <w:sz w:val="20"/>
          <w:szCs w:val="20"/>
        </w:rPr>
        <w:t>Data Protection Impact Assessment</w:t>
      </w:r>
    </w:p>
    <w:p w14:paraId="4081E37F" w14:textId="77777777" w:rsidR="00A16E3D" w:rsidRPr="00A16E3D" w:rsidRDefault="00A16E3D" w:rsidP="00A16E3D">
      <w:pPr>
        <w:spacing w:after="0" w:line="240" w:lineRule="auto"/>
        <w:ind w:right="-177"/>
        <w:rPr>
          <w:rFonts w:cs="Arial"/>
          <w:sz w:val="20"/>
          <w:szCs w:val="20"/>
        </w:rPr>
      </w:pPr>
      <w:r w:rsidRPr="00A16E3D">
        <w:rPr>
          <w:rFonts w:cs="Arial"/>
          <w:color w:val="808080"/>
          <w:sz w:val="20"/>
          <w:szCs w:val="20"/>
        </w:rPr>
        <w:t>Have we considered any effect the policy may have on the collecting, processing and storing of personal data?</w:t>
      </w:r>
      <w:r w:rsidRPr="00A16E3D">
        <w:rPr>
          <w:rFonts w:cs="Arial"/>
          <w:sz w:val="20"/>
          <w:szCs w:val="20"/>
        </w:rPr>
        <w:t xml:space="preserve"> </w:t>
      </w:r>
    </w:p>
    <w:p w14:paraId="5201651D" w14:textId="77777777" w:rsidR="00A16E3D" w:rsidRPr="00A16E3D" w:rsidRDefault="00A16E3D" w:rsidP="00A16E3D">
      <w:pPr>
        <w:spacing w:after="0" w:line="240" w:lineRule="auto"/>
        <w:rPr>
          <w:rFonts w:cs="Arial"/>
          <w:sz w:val="20"/>
          <w:szCs w:val="20"/>
        </w:rPr>
      </w:pPr>
      <w:r w:rsidRPr="00A16E3D">
        <w:rPr>
          <w:rFonts w:cs="Arial"/>
          <w:sz w:val="20"/>
          <w:szCs w:val="20"/>
        </w:rPr>
        <w:t>The records generated by this policy will contain personal data and may contain sensitive and special category personal data. Suitable retention and destruction policies are in place to manage this material.</w:t>
      </w:r>
    </w:p>
    <w:p w14:paraId="1A90EB8B" w14:textId="77777777" w:rsidR="00A16E3D" w:rsidRPr="00A16E3D" w:rsidRDefault="00A16E3D" w:rsidP="00A16E3D">
      <w:pPr>
        <w:spacing w:after="0" w:line="240" w:lineRule="auto"/>
        <w:rPr>
          <w:rFonts w:cs="Arial"/>
          <w:sz w:val="20"/>
          <w:szCs w:val="20"/>
        </w:rPr>
      </w:pPr>
    </w:p>
    <w:p w14:paraId="44A8FD73" w14:textId="77777777" w:rsidR="00A16E3D" w:rsidRPr="00A16E3D" w:rsidRDefault="00A16E3D" w:rsidP="00A16E3D">
      <w:pPr>
        <w:spacing w:after="0" w:line="240" w:lineRule="auto"/>
        <w:rPr>
          <w:rFonts w:cs="Arial"/>
          <w:b/>
          <w:color w:val="00A19A" w:themeColor="accent2"/>
          <w:sz w:val="20"/>
          <w:szCs w:val="20"/>
        </w:rPr>
      </w:pPr>
      <w:r w:rsidRPr="00A16E3D">
        <w:rPr>
          <w:rFonts w:cs="Arial"/>
          <w:b/>
          <w:color w:val="00A19A" w:themeColor="accent2"/>
          <w:sz w:val="20"/>
          <w:szCs w:val="20"/>
        </w:rPr>
        <w:t>Information Security Impact Assessment</w:t>
      </w:r>
    </w:p>
    <w:p w14:paraId="22100955" w14:textId="77777777" w:rsidR="00A16E3D" w:rsidRPr="00A16E3D" w:rsidRDefault="00A16E3D" w:rsidP="00A16E3D">
      <w:pPr>
        <w:spacing w:after="0" w:line="240" w:lineRule="auto"/>
        <w:rPr>
          <w:rFonts w:cs="Arial"/>
          <w:sz w:val="20"/>
          <w:szCs w:val="20"/>
        </w:rPr>
      </w:pPr>
      <w:r w:rsidRPr="00A16E3D">
        <w:rPr>
          <w:rFonts w:cs="Arial"/>
          <w:color w:val="808080"/>
          <w:sz w:val="20"/>
          <w:szCs w:val="20"/>
        </w:rPr>
        <w:t>Have we considered the impact any policy may have on our cyber-resilience?</w:t>
      </w:r>
      <w:r w:rsidRPr="00A16E3D">
        <w:rPr>
          <w:rFonts w:cs="Arial"/>
          <w:sz w:val="20"/>
          <w:szCs w:val="20"/>
        </w:rPr>
        <w:t xml:space="preserve"> </w:t>
      </w:r>
    </w:p>
    <w:p w14:paraId="5C42D293" w14:textId="77777777" w:rsidR="00A16E3D" w:rsidRPr="00A16E3D" w:rsidRDefault="00A16E3D" w:rsidP="00A16E3D">
      <w:pPr>
        <w:spacing w:after="0" w:line="240" w:lineRule="auto"/>
        <w:rPr>
          <w:rFonts w:cs="Arial"/>
          <w:sz w:val="20"/>
          <w:szCs w:val="20"/>
        </w:rPr>
      </w:pPr>
      <w:r w:rsidRPr="00A16E3D">
        <w:rPr>
          <w:rFonts w:cs="Arial"/>
          <w:sz w:val="20"/>
          <w:szCs w:val="20"/>
        </w:rPr>
        <w:t>This policy should have no impact on our cyber-resilience.</w:t>
      </w:r>
    </w:p>
    <w:p w14:paraId="0A95434C" w14:textId="77777777" w:rsidR="00A16E3D" w:rsidRPr="00A16E3D" w:rsidRDefault="00A16E3D" w:rsidP="00A16E3D">
      <w:pPr>
        <w:spacing w:after="0" w:line="240" w:lineRule="auto"/>
        <w:rPr>
          <w:rFonts w:cs="Arial"/>
          <w:sz w:val="20"/>
          <w:szCs w:val="20"/>
        </w:rPr>
      </w:pPr>
    </w:p>
    <w:p w14:paraId="1B4371AF" w14:textId="77777777" w:rsidR="00A16E3D" w:rsidRPr="00A16E3D" w:rsidRDefault="00A16E3D" w:rsidP="00A16E3D">
      <w:pPr>
        <w:spacing w:after="0" w:line="240" w:lineRule="auto"/>
        <w:rPr>
          <w:rFonts w:cs="Arial"/>
          <w:b/>
          <w:color w:val="00A19A" w:themeColor="accent2"/>
          <w:sz w:val="20"/>
          <w:szCs w:val="20"/>
        </w:rPr>
      </w:pPr>
      <w:r w:rsidRPr="00A16E3D">
        <w:rPr>
          <w:rFonts w:cs="Arial"/>
          <w:b/>
          <w:color w:val="00A19A" w:themeColor="accent2"/>
          <w:sz w:val="20"/>
          <w:szCs w:val="20"/>
        </w:rPr>
        <w:t>Records Management Impact</w:t>
      </w:r>
    </w:p>
    <w:p w14:paraId="056D0D76" w14:textId="77777777" w:rsidR="00A16E3D" w:rsidRPr="00A16E3D" w:rsidRDefault="00A16E3D" w:rsidP="00A16E3D">
      <w:pPr>
        <w:spacing w:after="0" w:line="240" w:lineRule="auto"/>
        <w:rPr>
          <w:rFonts w:cs="Arial"/>
          <w:sz w:val="20"/>
          <w:szCs w:val="20"/>
        </w:rPr>
      </w:pPr>
      <w:r w:rsidRPr="00A16E3D">
        <w:rPr>
          <w:rFonts w:cs="Arial"/>
          <w:color w:val="808080"/>
          <w:sz w:val="20"/>
          <w:szCs w:val="20"/>
        </w:rPr>
        <w:t>Have we considered the impact any policy may have on our ability to manage our records?</w:t>
      </w:r>
      <w:r w:rsidRPr="00A16E3D">
        <w:rPr>
          <w:rFonts w:cs="Arial"/>
          <w:sz w:val="20"/>
          <w:szCs w:val="20"/>
        </w:rPr>
        <w:t xml:space="preserve"> </w:t>
      </w:r>
    </w:p>
    <w:p w14:paraId="43AA14E6" w14:textId="5CD2B4CF" w:rsidR="00A16E3D" w:rsidRDefault="00A16E3D" w:rsidP="00A16E3D">
      <w:pPr>
        <w:spacing w:after="0" w:line="240" w:lineRule="auto"/>
        <w:rPr>
          <w:rFonts w:cs="Arial"/>
          <w:sz w:val="20"/>
          <w:szCs w:val="20"/>
        </w:rPr>
      </w:pPr>
      <w:r w:rsidRPr="00A16E3D">
        <w:rPr>
          <w:rFonts w:cs="Arial"/>
          <w:sz w:val="20"/>
          <w:szCs w:val="20"/>
        </w:rPr>
        <w:t>This policy should have no impact on our ability to manage our records.</w:t>
      </w:r>
    </w:p>
    <w:p w14:paraId="1A6F5D0A" w14:textId="77777777" w:rsidR="00A16E3D" w:rsidRPr="00A16E3D" w:rsidRDefault="00A16E3D" w:rsidP="00A16E3D">
      <w:pPr>
        <w:spacing w:after="0" w:line="240" w:lineRule="auto"/>
        <w:rPr>
          <w:rFonts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260"/>
        <w:gridCol w:w="1418"/>
        <w:gridCol w:w="2830"/>
      </w:tblGrid>
      <w:tr w:rsidR="00A16E3D" w:rsidRPr="00A16E3D" w14:paraId="77A7D568" w14:textId="77777777" w:rsidTr="00140A7D">
        <w:trPr>
          <w:jc w:val="center"/>
        </w:trPr>
        <w:tc>
          <w:tcPr>
            <w:tcW w:w="1134" w:type="dxa"/>
            <w:tcBorders>
              <w:top w:val="single" w:sz="4" w:space="0" w:color="auto"/>
              <w:left w:val="single" w:sz="4" w:space="0" w:color="auto"/>
              <w:bottom w:val="single" w:sz="4" w:space="0" w:color="auto"/>
              <w:right w:val="single" w:sz="4" w:space="0" w:color="auto"/>
            </w:tcBorders>
            <w:hideMark/>
          </w:tcPr>
          <w:p w14:paraId="6EF09BC3" w14:textId="77777777" w:rsidR="00A16E3D" w:rsidRPr="00A16E3D" w:rsidRDefault="00A16E3D" w:rsidP="00A16E3D">
            <w:pPr>
              <w:spacing w:after="0" w:line="240" w:lineRule="auto"/>
              <w:rPr>
                <w:rFonts w:cs="Arial"/>
                <w:b/>
                <w:sz w:val="20"/>
                <w:szCs w:val="20"/>
              </w:rPr>
            </w:pPr>
            <w:r w:rsidRPr="00A16E3D">
              <w:rPr>
                <w:rFonts w:cs="Arial"/>
                <w:b/>
                <w:sz w:val="20"/>
                <w:szCs w:val="20"/>
              </w:rPr>
              <w:t>Version</w:t>
            </w:r>
          </w:p>
        </w:tc>
        <w:tc>
          <w:tcPr>
            <w:tcW w:w="3260" w:type="dxa"/>
            <w:tcBorders>
              <w:top w:val="single" w:sz="4" w:space="0" w:color="auto"/>
              <w:left w:val="single" w:sz="4" w:space="0" w:color="auto"/>
              <w:bottom w:val="single" w:sz="4" w:space="0" w:color="auto"/>
              <w:right w:val="single" w:sz="4" w:space="0" w:color="auto"/>
            </w:tcBorders>
            <w:hideMark/>
          </w:tcPr>
          <w:p w14:paraId="1F946A5F" w14:textId="77777777" w:rsidR="00A16E3D" w:rsidRPr="00A16E3D" w:rsidRDefault="00A16E3D" w:rsidP="00A16E3D">
            <w:pPr>
              <w:spacing w:after="0" w:line="240" w:lineRule="auto"/>
              <w:rPr>
                <w:rFonts w:cs="Arial"/>
                <w:b/>
                <w:sz w:val="20"/>
                <w:szCs w:val="20"/>
              </w:rPr>
            </w:pPr>
            <w:r w:rsidRPr="00A16E3D">
              <w:rPr>
                <w:rFonts w:cs="Arial"/>
                <w:b/>
                <w:sz w:val="20"/>
                <w:szCs w:val="20"/>
              </w:rPr>
              <w:t>Description</w:t>
            </w:r>
          </w:p>
        </w:tc>
        <w:tc>
          <w:tcPr>
            <w:tcW w:w="1418" w:type="dxa"/>
            <w:tcBorders>
              <w:top w:val="single" w:sz="4" w:space="0" w:color="auto"/>
              <w:left w:val="single" w:sz="4" w:space="0" w:color="auto"/>
              <w:bottom w:val="single" w:sz="4" w:space="0" w:color="auto"/>
              <w:right w:val="single" w:sz="4" w:space="0" w:color="auto"/>
            </w:tcBorders>
            <w:hideMark/>
          </w:tcPr>
          <w:p w14:paraId="1BC192F5" w14:textId="77777777" w:rsidR="00A16E3D" w:rsidRPr="00A16E3D" w:rsidRDefault="00A16E3D" w:rsidP="00A16E3D">
            <w:pPr>
              <w:spacing w:after="0" w:line="240" w:lineRule="auto"/>
              <w:rPr>
                <w:rFonts w:cs="Arial"/>
                <w:b/>
                <w:sz w:val="20"/>
                <w:szCs w:val="20"/>
              </w:rPr>
            </w:pPr>
            <w:r w:rsidRPr="00A16E3D">
              <w:rPr>
                <w:rFonts w:cs="Arial"/>
                <w:b/>
                <w:sz w:val="20"/>
                <w:szCs w:val="20"/>
              </w:rPr>
              <w:t>Date</w:t>
            </w:r>
          </w:p>
        </w:tc>
        <w:tc>
          <w:tcPr>
            <w:tcW w:w="2830" w:type="dxa"/>
            <w:tcBorders>
              <w:top w:val="single" w:sz="4" w:space="0" w:color="auto"/>
              <w:left w:val="single" w:sz="4" w:space="0" w:color="auto"/>
              <w:bottom w:val="single" w:sz="4" w:space="0" w:color="auto"/>
              <w:right w:val="single" w:sz="4" w:space="0" w:color="auto"/>
            </w:tcBorders>
            <w:hideMark/>
          </w:tcPr>
          <w:p w14:paraId="6C2F8FAD" w14:textId="77777777" w:rsidR="00A16E3D" w:rsidRPr="00A16E3D" w:rsidRDefault="00A16E3D" w:rsidP="00A16E3D">
            <w:pPr>
              <w:spacing w:after="0" w:line="240" w:lineRule="auto"/>
              <w:rPr>
                <w:rFonts w:cs="Arial"/>
                <w:b/>
                <w:sz w:val="20"/>
                <w:szCs w:val="20"/>
              </w:rPr>
            </w:pPr>
            <w:r w:rsidRPr="00A16E3D">
              <w:rPr>
                <w:rFonts w:cs="Arial"/>
                <w:b/>
                <w:sz w:val="20"/>
                <w:szCs w:val="20"/>
              </w:rPr>
              <w:t>Author</w:t>
            </w:r>
          </w:p>
        </w:tc>
      </w:tr>
      <w:tr w:rsidR="00A16E3D" w:rsidRPr="00A16E3D" w14:paraId="7F1AB7F3" w14:textId="77777777" w:rsidTr="00140A7D">
        <w:trPr>
          <w:jc w:val="center"/>
        </w:trPr>
        <w:tc>
          <w:tcPr>
            <w:tcW w:w="1134" w:type="dxa"/>
            <w:tcBorders>
              <w:top w:val="single" w:sz="4" w:space="0" w:color="auto"/>
              <w:left w:val="single" w:sz="4" w:space="0" w:color="auto"/>
              <w:bottom w:val="single" w:sz="4" w:space="0" w:color="auto"/>
              <w:right w:val="single" w:sz="4" w:space="0" w:color="auto"/>
            </w:tcBorders>
          </w:tcPr>
          <w:p w14:paraId="7CB2F6D5" w14:textId="77777777" w:rsidR="00A16E3D" w:rsidRPr="00A16E3D" w:rsidRDefault="00A16E3D" w:rsidP="00A16E3D">
            <w:pPr>
              <w:spacing w:after="0" w:line="240" w:lineRule="auto"/>
              <w:rPr>
                <w:rFonts w:cs="Arial"/>
                <w:sz w:val="20"/>
                <w:szCs w:val="20"/>
              </w:rPr>
            </w:pPr>
            <w:r w:rsidRPr="00A16E3D">
              <w:rPr>
                <w:rFonts w:cs="Arial"/>
                <w:sz w:val="20"/>
                <w:szCs w:val="20"/>
              </w:rPr>
              <w:t>1.0</w:t>
            </w:r>
          </w:p>
        </w:tc>
        <w:tc>
          <w:tcPr>
            <w:tcW w:w="3260" w:type="dxa"/>
            <w:tcBorders>
              <w:top w:val="single" w:sz="4" w:space="0" w:color="auto"/>
              <w:left w:val="single" w:sz="4" w:space="0" w:color="auto"/>
              <w:bottom w:val="single" w:sz="4" w:space="0" w:color="auto"/>
              <w:right w:val="single" w:sz="4" w:space="0" w:color="auto"/>
            </w:tcBorders>
            <w:hideMark/>
          </w:tcPr>
          <w:p w14:paraId="78B4338D" w14:textId="77777777" w:rsidR="00A16E3D" w:rsidRPr="00A16E3D" w:rsidRDefault="00A16E3D" w:rsidP="00A16E3D">
            <w:pPr>
              <w:spacing w:after="0" w:line="240" w:lineRule="auto"/>
              <w:rPr>
                <w:rFonts w:cs="Arial"/>
                <w:sz w:val="20"/>
                <w:szCs w:val="20"/>
              </w:rPr>
            </w:pPr>
            <w:r w:rsidRPr="00A16E3D">
              <w:rPr>
                <w:rFonts w:cs="Arial"/>
                <w:sz w:val="20"/>
                <w:szCs w:val="20"/>
              </w:rPr>
              <w:t>First draft</w:t>
            </w:r>
          </w:p>
          <w:p w14:paraId="342A90E6" w14:textId="77777777" w:rsidR="00A16E3D" w:rsidRPr="00A16E3D" w:rsidRDefault="00A16E3D" w:rsidP="00A16E3D">
            <w:pPr>
              <w:spacing w:after="0" w:line="240" w:lineRule="auto"/>
              <w:rPr>
                <w:rFonts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600597F3" w14:textId="0207C740" w:rsidR="00A16E3D" w:rsidRPr="00A16E3D" w:rsidRDefault="00A000C1" w:rsidP="00A16E3D">
            <w:pPr>
              <w:spacing w:after="0" w:line="240" w:lineRule="auto"/>
              <w:rPr>
                <w:rFonts w:cs="Arial"/>
                <w:sz w:val="20"/>
                <w:szCs w:val="20"/>
              </w:rPr>
            </w:pPr>
            <w:r>
              <w:rPr>
                <w:rFonts w:cs="Arial"/>
                <w:sz w:val="20"/>
                <w:szCs w:val="20"/>
              </w:rPr>
              <w:t>0</w:t>
            </w:r>
            <w:r w:rsidR="00A16E3D" w:rsidRPr="00A16E3D">
              <w:rPr>
                <w:rFonts w:cs="Arial"/>
                <w:sz w:val="20"/>
                <w:szCs w:val="20"/>
              </w:rPr>
              <w:t>1/</w:t>
            </w:r>
            <w:r>
              <w:rPr>
                <w:rFonts w:cs="Arial"/>
                <w:sz w:val="20"/>
                <w:szCs w:val="20"/>
              </w:rPr>
              <w:t>06</w:t>
            </w:r>
            <w:r w:rsidR="00A16E3D" w:rsidRPr="00A16E3D">
              <w:rPr>
                <w:rFonts w:cs="Arial"/>
                <w:sz w:val="20"/>
                <w:szCs w:val="20"/>
              </w:rPr>
              <w:t>/21</w:t>
            </w:r>
          </w:p>
        </w:tc>
        <w:tc>
          <w:tcPr>
            <w:tcW w:w="2830" w:type="dxa"/>
            <w:tcBorders>
              <w:top w:val="single" w:sz="4" w:space="0" w:color="auto"/>
              <w:left w:val="single" w:sz="4" w:space="0" w:color="auto"/>
              <w:bottom w:val="single" w:sz="4" w:space="0" w:color="auto"/>
              <w:right w:val="single" w:sz="4" w:space="0" w:color="auto"/>
            </w:tcBorders>
            <w:hideMark/>
          </w:tcPr>
          <w:p w14:paraId="51A341A8" w14:textId="77777777" w:rsidR="00A16E3D" w:rsidRPr="00A16E3D" w:rsidRDefault="00A16E3D" w:rsidP="00A16E3D">
            <w:pPr>
              <w:spacing w:after="0" w:line="240" w:lineRule="auto"/>
              <w:rPr>
                <w:rFonts w:cs="Arial"/>
                <w:sz w:val="20"/>
                <w:szCs w:val="20"/>
              </w:rPr>
            </w:pPr>
            <w:r w:rsidRPr="00A16E3D">
              <w:rPr>
                <w:rFonts w:cs="Arial"/>
                <w:sz w:val="20"/>
                <w:szCs w:val="20"/>
              </w:rPr>
              <w:t>Public Appointments Officer</w:t>
            </w:r>
          </w:p>
        </w:tc>
      </w:tr>
    </w:tbl>
    <w:p w14:paraId="3F0FD106" w14:textId="77777777" w:rsidR="00A16E3D" w:rsidRPr="00A16E3D" w:rsidRDefault="00A16E3D" w:rsidP="00A16E3D">
      <w:pPr>
        <w:spacing w:after="160" w:line="259" w:lineRule="auto"/>
        <w:rPr>
          <w:rFonts w:cs="Arial"/>
          <w:sz w:val="20"/>
          <w:szCs w:val="20"/>
        </w:rPr>
      </w:pPr>
    </w:p>
    <w:p w14:paraId="2F899029" w14:textId="734A4988" w:rsidR="0096377F" w:rsidRDefault="0096377F" w:rsidP="00942CE3">
      <w:pPr>
        <w:spacing w:line="259" w:lineRule="auto"/>
        <w:rPr>
          <w:rFonts w:cs="Arial"/>
          <w:sz w:val="20"/>
          <w:szCs w:val="20"/>
        </w:rPr>
      </w:pPr>
    </w:p>
    <w:sectPr w:rsidR="0096377F" w:rsidSect="00664CE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DEEA5" w14:textId="77777777" w:rsidR="00B53EDC" w:rsidRDefault="00B53EDC" w:rsidP="00110ADF">
      <w:pPr>
        <w:spacing w:after="0" w:line="240" w:lineRule="auto"/>
      </w:pPr>
      <w:r>
        <w:separator/>
      </w:r>
    </w:p>
  </w:endnote>
  <w:endnote w:type="continuationSeparator" w:id="0">
    <w:p w14:paraId="4875AED4" w14:textId="77777777" w:rsidR="00B53EDC" w:rsidRDefault="00B53EDC" w:rsidP="0011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FCC46" w14:textId="77777777" w:rsidR="00133A31" w:rsidRDefault="00133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7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8"/>
      <w:gridCol w:w="4248"/>
    </w:tblGrid>
    <w:tr w:rsidR="00133A31" w:rsidRPr="000214C5" w14:paraId="45CD8754" w14:textId="77777777" w:rsidTr="00B560C6">
      <w:trPr>
        <w:trHeight w:hRule="exact" w:val="454"/>
        <w:jc w:val="center"/>
      </w:trPr>
      <w:tc>
        <w:tcPr>
          <w:tcW w:w="9776" w:type="dxa"/>
          <w:gridSpan w:val="2"/>
          <w:shd w:val="clear" w:color="auto" w:fill="auto"/>
          <w:vAlign w:val="center"/>
        </w:tcPr>
        <w:p w14:paraId="3EDD2B29" w14:textId="77777777" w:rsidR="00133A31" w:rsidRPr="000214C5" w:rsidRDefault="00133A31" w:rsidP="00A54E64">
          <w:pPr>
            <w:pStyle w:val="Footer"/>
            <w:jc w:val="center"/>
            <w:rPr>
              <w:color w:val="323E48"/>
              <w:sz w:val="20"/>
            </w:rPr>
          </w:pPr>
          <w:r w:rsidRPr="000214C5">
            <w:rPr>
              <w:rFonts w:cs="Arial"/>
              <w:b/>
              <w:noProof/>
              <w:color w:val="323E48"/>
              <w:sz w:val="20"/>
            </w:rPr>
            <w:drawing>
              <wp:inline distT="0" distB="0" distL="0" distR="0" wp14:anchorId="3B71C646" wp14:editId="16D02E0B">
                <wp:extent cx="230265" cy="9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 abbreviated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sidRPr="000214C5">
            <w:rPr>
              <w:rFonts w:cs="Arial"/>
              <w:b/>
              <w:color w:val="323E48"/>
              <w:sz w:val="20"/>
            </w:rPr>
            <w:t xml:space="preserve">  </w:t>
          </w:r>
          <w:r>
            <w:rPr>
              <w:rFonts w:cs="Arial"/>
              <w:b/>
              <w:color w:val="323E48"/>
              <w:sz w:val="20"/>
            </w:rPr>
            <w:t xml:space="preserve">  </w:t>
          </w:r>
          <w:r w:rsidRPr="000214C5">
            <w:rPr>
              <w:rFonts w:cs="Arial"/>
              <w:b/>
              <w:color w:val="323E48"/>
              <w:sz w:val="20"/>
            </w:rPr>
            <w:t xml:space="preserve"> </w:t>
          </w:r>
          <w:r w:rsidRPr="000214C5">
            <w:rPr>
              <w:rFonts w:cs="Arial"/>
              <w:b/>
              <w:color w:val="00A19A"/>
              <w:sz w:val="20"/>
            </w:rPr>
            <w:t>E:</w:t>
          </w:r>
          <w:r w:rsidRPr="000214C5">
            <w:rPr>
              <w:rFonts w:cs="Arial"/>
              <w:color w:val="323E48"/>
              <w:sz w:val="20"/>
            </w:rPr>
            <w:t xml:space="preserve"> </w:t>
          </w:r>
          <w:hyperlink r:id="rId2" w:history="1">
            <w:r w:rsidRPr="000214C5">
              <w:rPr>
                <w:rStyle w:val="Hyperlink"/>
                <w:rFonts w:cs="Arial"/>
                <w:color w:val="323E48"/>
                <w:sz w:val="20"/>
                <w:u w:val="none"/>
              </w:rPr>
              <w:t>info@ethicalstandards.org.uk</w:t>
            </w:r>
          </w:hyperlink>
          <w:r w:rsidRPr="000214C5">
            <w:rPr>
              <w:rStyle w:val="Hyperlink"/>
              <w:rFonts w:cs="Arial"/>
              <w:color w:val="323E48"/>
              <w:sz w:val="20"/>
              <w:u w:val="none"/>
            </w:rPr>
            <w:t xml:space="preserve">   </w:t>
          </w:r>
          <w:r w:rsidRPr="000214C5">
            <w:rPr>
              <w:rFonts w:cs="Arial"/>
              <w:b/>
              <w:color w:val="00A19A"/>
              <w:sz w:val="20"/>
            </w:rPr>
            <w:t>T:</w:t>
          </w:r>
          <w:r w:rsidRPr="000214C5">
            <w:rPr>
              <w:rFonts w:cs="Arial"/>
              <w:color w:val="323E48"/>
              <w:sz w:val="20"/>
            </w:rPr>
            <w:t xml:space="preserve"> 0300 011 0550 </w:t>
          </w:r>
          <w:r w:rsidRPr="000214C5">
            <w:rPr>
              <w:color w:val="323E48"/>
              <w:sz w:val="20"/>
            </w:rPr>
            <w:t xml:space="preserve">  </w:t>
          </w:r>
          <w:r w:rsidRPr="000214C5">
            <w:rPr>
              <w:rFonts w:cs="Arial"/>
              <w:b/>
              <w:color w:val="00A19A"/>
              <w:sz w:val="20"/>
            </w:rPr>
            <w:t>W:</w:t>
          </w:r>
          <w:r w:rsidRPr="000214C5">
            <w:rPr>
              <w:rFonts w:cs="Arial"/>
              <w:color w:val="323E48"/>
              <w:sz w:val="20"/>
            </w:rPr>
            <w:t xml:space="preserve"> </w:t>
          </w:r>
          <w:hyperlink r:id="rId3" w:history="1">
            <w:r w:rsidRPr="000214C5">
              <w:rPr>
                <w:rStyle w:val="Hyperlink"/>
                <w:rFonts w:cs="Arial"/>
                <w:color w:val="323E48"/>
                <w:sz w:val="20"/>
                <w:u w:val="none"/>
              </w:rPr>
              <w:t>www.ethicalstandards.org.uk</w:t>
            </w:r>
          </w:hyperlink>
        </w:p>
      </w:tc>
    </w:tr>
    <w:tr w:rsidR="00133A31" w:rsidRPr="001165DC" w14:paraId="4E3E83CB" w14:textId="77777777" w:rsidTr="00B560C6">
      <w:trPr>
        <w:jc w:val="center"/>
      </w:trPr>
      <w:tc>
        <w:tcPr>
          <w:tcW w:w="5528" w:type="dxa"/>
          <w:shd w:val="clear" w:color="auto" w:fill="auto"/>
          <w:vAlign w:val="center"/>
        </w:tcPr>
        <w:p w14:paraId="78CD8DA2" w14:textId="7503CDBD" w:rsidR="00133A31" w:rsidRPr="001165DC" w:rsidRDefault="00133A31" w:rsidP="00A54E64">
          <w:pPr>
            <w:pStyle w:val="Footer"/>
            <w:rPr>
              <w:rFonts w:cs="Arial"/>
              <w:noProof/>
              <w:color w:val="323E48"/>
              <w:sz w:val="16"/>
            </w:rPr>
          </w:pPr>
        </w:p>
      </w:tc>
      <w:tc>
        <w:tcPr>
          <w:tcW w:w="4248" w:type="dxa"/>
          <w:shd w:val="clear" w:color="auto" w:fill="auto"/>
          <w:vAlign w:val="center"/>
        </w:tcPr>
        <w:p w14:paraId="00BF842E" w14:textId="28CF36B1" w:rsidR="00133A31" w:rsidRPr="001165DC" w:rsidRDefault="00133A31" w:rsidP="00A54E64">
          <w:pPr>
            <w:pStyle w:val="Footer"/>
            <w:jc w:val="right"/>
            <w:rPr>
              <w:rFonts w:cs="Arial"/>
              <w:noProof/>
              <w:color w:val="323E48"/>
              <w:sz w:val="16"/>
            </w:rPr>
          </w:pPr>
          <w:r w:rsidRPr="001165DC">
            <w:rPr>
              <w:rFonts w:cs="Arial"/>
              <w:noProof/>
              <w:color w:val="323E48"/>
              <w:sz w:val="16"/>
            </w:rPr>
            <w:t xml:space="preserve">Page </w:t>
          </w:r>
          <w:r>
            <w:rPr>
              <w:rFonts w:cs="Arial"/>
              <w:noProof/>
              <w:color w:val="323E48"/>
              <w:sz w:val="16"/>
            </w:rPr>
            <w:fldChar w:fldCharType="begin"/>
          </w:r>
          <w:r>
            <w:rPr>
              <w:rFonts w:cs="Arial"/>
              <w:noProof/>
              <w:color w:val="323E48"/>
              <w:sz w:val="16"/>
            </w:rPr>
            <w:instrText xml:space="preserve"> PAGE   \* MERGEFORMAT </w:instrText>
          </w:r>
          <w:r>
            <w:rPr>
              <w:rFonts w:cs="Arial"/>
              <w:noProof/>
              <w:color w:val="323E48"/>
              <w:sz w:val="16"/>
            </w:rPr>
            <w:fldChar w:fldCharType="separate"/>
          </w:r>
          <w:r>
            <w:rPr>
              <w:rFonts w:cs="Arial"/>
              <w:noProof/>
              <w:color w:val="323E48"/>
              <w:sz w:val="16"/>
            </w:rPr>
            <w:t>2</w:t>
          </w:r>
          <w:r>
            <w:rPr>
              <w:rFonts w:cs="Arial"/>
              <w:noProof/>
              <w:color w:val="323E48"/>
              <w:sz w:val="16"/>
            </w:rPr>
            <w:fldChar w:fldCharType="end"/>
          </w:r>
          <w:r>
            <w:rPr>
              <w:rFonts w:cs="Arial"/>
              <w:noProof/>
              <w:color w:val="323E48"/>
              <w:sz w:val="16"/>
            </w:rPr>
            <w:t xml:space="preserve"> of </w:t>
          </w:r>
          <w:r>
            <w:rPr>
              <w:rFonts w:cs="Arial"/>
              <w:noProof/>
              <w:color w:val="323E48"/>
              <w:sz w:val="16"/>
            </w:rPr>
            <w:fldChar w:fldCharType="begin"/>
          </w:r>
          <w:r>
            <w:rPr>
              <w:rFonts w:cs="Arial"/>
              <w:noProof/>
              <w:color w:val="323E48"/>
              <w:sz w:val="16"/>
            </w:rPr>
            <w:instrText xml:space="preserve"> NUMPAGES   \* MERGEFORMAT </w:instrText>
          </w:r>
          <w:r>
            <w:rPr>
              <w:rFonts w:cs="Arial"/>
              <w:noProof/>
              <w:color w:val="323E48"/>
              <w:sz w:val="16"/>
            </w:rPr>
            <w:fldChar w:fldCharType="separate"/>
          </w:r>
          <w:r>
            <w:rPr>
              <w:rFonts w:cs="Arial"/>
              <w:noProof/>
              <w:color w:val="323E48"/>
              <w:sz w:val="16"/>
            </w:rPr>
            <w:t>4</w:t>
          </w:r>
          <w:r>
            <w:rPr>
              <w:rFonts w:cs="Arial"/>
              <w:noProof/>
              <w:color w:val="323E48"/>
              <w:sz w:val="16"/>
            </w:rPr>
            <w:fldChar w:fldCharType="end"/>
          </w:r>
        </w:p>
      </w:tc>
    </w:tr>
  </w:tbl>
  <w:p w14:paraId="38D0E24D" w14:textId="271EE66A" w:rsidR="00133A31" w:rsidRPr="00A54E64" w:rsidRDefault="00133A31" w:rsidP="00A54E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7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8"/>
      <w:gridCol w:w="4248"/>
    </w:tblGrid>
    <w:tr w:rsidR="00133A31" w:rsidRPr="000214C5" w14:paraId="69933683" w14:textId="77777777" w:rsidTr="00B560C6">
      <w:trPr>
        <w:trHeight w:hRule="exact" w:val="454"/>
        <w:jc w:val="center"/>
      </w:trPr>
      <w:tc>
        <w:tcPr>
          <w:tcW w:w="9776" w:type="dxa"/>
          <w:gridSpan w:val="2"/>
          <w:shd w:val="clear" w:color="auto" w:fill="auto"/>
          <w:vAlign w:val="center"/>
        </w:tcPr>
        <w:p w14:paraId="31000A2D" w14:textId="77777777" w:rsidR="00133A31" w:rsidRPr="000214C5" w:rsidRDefault="00133A31" w:rsidP="00A54E64">
          <w:pPr>
            <w:pStyle w:val="Footer"/>
            <w:jc w:val="center"/>
            <w:rPr>
              <w:color w:val="323E48"/>
              <w:sz w:val="20"/>
            </w:rPr>
          </w:pPr>
          <w:r w:rsidRPr="000214C5">
            <w:rPr>
              <w:rFonts w:cs="Arial"/>
              <w:b/>
              <w:noProof/>
              <w:color w:val="323E48"/>
              <w:sz w:val="20"/>
            </w:rPr>
            <w:drawing>
              <wp:inline distT="0" distB="0" distL="0" distR="0" wp14:anchorId="1A71452E" wp14:editId="0677AF1C">
                <wp:extent cx="230265" cy="9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 abbreviated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sidRPr="000214C5">
            <w:rPr>
              <w:rFonts w:cs="Arial"/>
              <w:b/>
              <w:color w:val="323E48"/>
              <w:sz w:val="20"/>
            </w:rPr>
            <w:t xml:space="preserve">  </w:t>
          </w:r>
          <w:r>
            <w:rPr>
              <w:rFonts w:cs="Arial"/>
              <w:b/>
              <w:color w:val="323E48"/>
              <w:sz w:val="20"/>
            </w:rPr>
            <w:t xml:space="preserve">  </w:t>
          </w:r>
          <w:r w:rsidRPr="000214C5">
            <w:rPr>
              <w:rFonts w:cs="Arial"/>
              <w:b/>
              <w:color w:val="323E48"/>
              <w:sz w:val="20"/>
            </w:rPr>
            <w:t xml:space="preserve"> </w:t>
          </w:r>
          <w:r w:rsidRPr="000214C5">
            <w:rPr>
              <w:rFonts w:cs="Arial"/>
              <w:b/>
              <w:color w:val="00A19A"/>
              <w:sz w:val="20"/>
            </w:rPr>
            <w:t>E:</w:t>
          </w:r>
          <w:r w:rsidRPr="000214C5">
            <w:rPr>
              <w:rFonts w:cs="Arial"/>
              <w:color w:val="323E48"/>
              <w:sz w:val="20"/>
            </w:rPr>
            <w:t xml:space="preserve"> </w:t>
          </w:r>
          <w:hyperlink r:id="rId2" w:history="1">
            <w:r w:rsidRPr="000214C5">
              <w:rPr>
                <w:rStyle w:val="Hyperlink"/>
                <w:rFonts w:cs="Arial"/>
                <w:color w:val="323E48"/>
                <w:sz w:val="20"/>
                <w:u w:val="none"/>
              </w:rPr>
              <w:t>info@ethicalstandards.org.uk</w:t>
            </w:r>
          </w:hyperlink>
          <w:r w:rsidRPr="000214C5">
            <w:rPr>
              <w:rStyle w:val="Hyperlink"/>
              <w:rFonts w:cs="Arial"/>
              <w:color w:val="323E48"/>
              <w:sz w:val="20"/>
              <w:u w:val="none"/>
            </w:rPr>
            <w:t xml:space="preserve">   </w:t>
          </w:r>
          <w:r w:rsidRPr="000214C5">
            <w:rPr>
              <w:rFonts w:cs="Arial"/>
              <w:b/>
              <w:color w:val="00A19A"/>
              <w:sz w:val="20"/>
            </w:rPr>
            <w:t>T:</w:t>
          </w:r>
          <w:r w:rsidRPr="000214C5">
            <w:rPr>
              <w:rFonts w:cs="Arial"/>
              <w:color w:val="323E48"/>
              <w:sz w:val="20"/>
            </w:rPr>
            <w:t xml:space="preserve"> 0300 011 0550 </w:t>
          </w:r>
          <w:r w:rsidRPr="000214C5">
            <w:rPr>
              <w:color w:val="323E48"/>
              <w:sz w:val="20"/>
            </w:rPr>
            <w:t xml:space="preserve">  </w:t>
          </w:r>
          <w:r w:rsidRPr="000214C5">
            <w:rPr>
              <w:rFonts w:cs="Arial"/>
              <w:b/>
              <w:color w:val="00A19A"/>
              <w:sz w:val="20"/>
            </w:rPr>
            <w:t>W:</w:t>
          </w:r>
          <w:r w:rsidRPr="000214C5">
            <w:rPr>
              <w:rFonts w:cs="Arial"/>
              <w:color w:val="323E48"/>
              <w:sz w:val="20"/>
            </w:rPr>
            <w:t xml:space="preserve"> </w:t>
          </w:r>
          <w:hyperlink r:id="rId3" w:history="1">
            <w:r w:rsidRPr="000214C5">
              <w:rPr>
                <w:rStyle w:val="Hyperlink"/>
                <w:rFonts w:cs="Arial"/>
                <w:color w:val="323E48"/>
                <w:sz w:val="20"/>
                <w:u w:val="none"/>
              </w:rPr>
              <w:t>www.ethicalstandards.org.uk</w:t>
            </w:r>
          </w:hyperlink>
        </w:p>
      </w:tc>
    </w:tr>
    <w:tr w:rsidR="00133A31" w:rsidRPr="001165DC" w14:paraId="7F778499" w14:textId="77777777" w:rsidTr="00B560C6">
      <w:trPr>
        <w:jc w:val="center"/>
      </w:trPr>
      <w:tc>
        <w:tcPr>
          <w:tcW w:w="5528" w:type="dxa"/>
          <w:shd w:val="clear" w:color="auto" w:fill="auto"/>
          <w:vAlign w:val="center"/>
        </w:tcPr>
        <w:p w14:paraId="4F9F3B72" w14:textId="39288E10" w:rsidR="00133A31" w:rsidRPr="001165DC" w:rsidRDefault="00133A31" w:rsidP="00A54E64">
          <w:pPr>
            <w:pStyle w:val="Footer"/>
            <w:rPr>
              <w:rFonts w:cs="Arial"/>
              <w:noProof/>
              <w:color w:val="323E48"/>
              <w:sz w:val="16"/>
            </w:rPr>
          </w:pPr>
        </w:p>
      </w:tc>
      <w:tc>
        <w:tcPr>
          <w:tcW w:w="4248" w:type="dxa"/>
          <w:shd w:val="clear" w:color="auto" w:fill="auto"/>
          <w:vAlign w:val="center"/>
        </w:tcPr>
        <w:p w14:paraId="2AB867EC" w14:textId="63DEBDBF" w:rsidR="00133A31" w:rsidRPr="001165DC" w:rsidRDefault="00133A31" w:rsidP="00A54E64">
          <w:pPr>
            <w:pStyle w:val="Footer"/>
            <w:jc w:val="right"/>
            <w:rPr>
              <w:rFonts w:cs="Arial"/>
              <w:noProof/>
              <w:color w:val="323E48"/>
              <w:sz w:val="16"/>
            </w:rPr>
          </w:pPr>
          <w:r w:rsidRPr="001165DC">
            <w:rPr>
              <w:rFonts w:cs="Arial"/>
              <w:noProof/>
              <w:color w:val="323E48"/>
              <w:sz w:val="16"/>
            </w:rPr>
            <w:t xml:space="preserve">Page </w:t>
          </w:r>
          <w:r>
            <w:rPr>
              <w:rFonts w:cs="Arial"/>
              <w:noProof/>
              <w:color w:val="323E48"/>
              <w:sz w:val="16"/>
            </w:rPr>
            <w:fldChar w:fldCharType="begin"/>
          </w:r>
          <w:r>
            <w:rPr>
              <w:rFonts w:cs="Arial"/>
              <w:noProof/>
              <w:color w:val="323E48"/>
              <w:sz w:val="16"/>
            </w:rPr>
            <w:instrText xml:space="preserve"> PAGE   \* MERGEFORMAT </w:instrText>
          </w:r>
          <w:r>
            <w:rPr>
              <w:rFonts w:cs="Arial"/>
              <w:noProof/>
              <w:color w:val="323E48"/>
              <w:sz w:val="16"/>
            </w:rPr>
            <w:fldChar w:fldCharType="separate"/>
          </w:r>
          <w:r>
            <w:rPr>
              <w:rFonts w:cs="Arial"/>
              <w:noProof/>
              <w:color w:val="323E48"/>
              <w:sz w:val="16"/>
            </w:rPr>
            <w:t>2</w:t>
          </w:r>
          <w:r>
            <w:rPr>
              <w:rFonts w:cs="Arial"/>
              <w:noProof/>
              <w:color w:val="323E48"/>
              <w:sz w:val="16"/>
            </w:rPr>
            <w:fldChar w:fldCharType="end"/>
          </w:r>
          <w:r>
            <w:rPr>
              <w:rFonts w:cs="Arial"/>
              <w:noProof/>
              <w:color w:val="323E48"/>
              <w:sz w:val="16"/>
            </w:rPr>
            <w:t xml:space="preserve"> of </w:t>
          </w:r>
          <w:r>
            <w:rPr>
              <w:rFonts w:cs="Arial"/>
              <w:noProof/>
              <w:color w:val="323E48"/>
              <w:sz w:val="16"/>
            </w:rPr>
            <w:fldChar w:fldCharType="begin"/>
          </w:r>
          <w:r>
            <w:rPr>
              <w:rFonts w:cs="Arial"/>
              <w:noProof/>
              <w:color w:val="323E48"/>
              <w:sz w:val="16"/>
            </w:rPr>
            <w:instrText xml:space="preserve"> NUMPAGES   \* MERGEFORMAT </w:instrText>
          </w:r>
          <w:r>
            <w:rPr>
              <w:rFonts w:cs="Arial"/>
              <w:noProof/>
              <w:color w:val="323E48"/>
              <w:sz w:val="16"/>
            </w:rPr>
            <w:fldChar w:fldCharType="separate"/>
          </w:r>
          <w:r>
            <w:rPr>
              <w:rFonts w:cs="Arial"/>
              <w:noProof/>
              <w:color w:val="323E48"/>
              <w:sz w:val="16"/>
            </w:rPr>
            <w:t>4</w:t>
          </w:r>
          <w:r>
            <w:rPr>
              <w:rFonts w:cs="Arial"/>
              <w:noProof/>
              <w:color w:val="323E48"/>
              <w:sz w:val="16"/>
            </w:rPr>
            <w:fldChar w:fldCharType="end"/>
          </w:r>
        </w:p>
      </w:tc>
    </w:tr>
  </w:tbl>
  <w:p w14:paraId="7F7A5ACB" w14:textId="77777777" w:rsidR="00133A31" w:rsidRPr="00A54E64" w:rsidRDefault="00133A31" w:rsidP="00A54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E33CB" w14:textId="77777777" w:rsidR="00B53EDC" w:rsidRDefault="00B53EDC" w:rsidP="00110ADF">
      <w:pPr>
        <w:spacing w:after="0" w:line="240" w:lineRule="auto"/>
      </w:pPr>
      <w:r>
        <w:separator/>
      </w:r>
    </w:p>
  </w:footnote>
  <w:footnote w:type="continuationSeparator" w:id="0">
    <w:p w14:paraId="574926ED" w14:textId="77777777" w:rsidR="00B53EDC" w:rsidRDefault="00B53EDC" w:rsidP="00110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939C3" w14:textId="77777777" w:rsidR="00133A31" w:rsidRDefault="00133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CD67C" w14:textId="23353726" w:rsidR="00133A31" w:rsidRDefault="00133A31">
    <w:pPr>
      <w:pStyle w:val="Header"/>
    </w:pPr>
    <w:r>
      <w:rPr>
        <w:noProof/>
      </w:rPr>
      <w:drawing>
        <wp:inline distT="0" distB="0" distL="0" distR="0" wp14:anchorId="4B9183DF" wp14:editId="702878A4">
          <wp:extent cx="1766237" cy="3816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 logo_CMYK.png"/>
                  <pic:cNvPicPr/>
                </pic:nvPicPr>
                <pic:blipFill>
                  <a:blip r:embed="rId1">
                    <a:extLst>
                      <a:ext uri="{28A0092B-C50C-407E-A947-70E740481C1C}">
                        <a14:useLocalDpi xmlns:a14="http://schemas.microsoft.com/office/drawing/2010/main" val="0"/>
                      </a:ext>
                    </a:extLst>
                  </a:blip>
                  <a:stretch>
                    <a:fillRect/>
                  </a:stretch>
                </pic:blipFill>
                <pic:spPr>
                  <a:xfrm>
                    <a:off x="0" y="0"/>
                    <a:ext cx="1766237" cy="38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5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655"/>
      <w:gridCol w:w="3402"/>
    </w:tblGrid>
    <w:tr w:rsidR="00133A31" w14:paraId="5E094C59" w14:textId="77777777" w:rsidTr="00B560C6">
      <w:trPr>
        <w:jc w:val="center"/>
      </w:trPr>
      <w:tc>
        <w:tcPr>
          <w:tcW w:w="7655" w:type="dxa"/>
        </w:tcPr>
        <w:p w14:paraId="1AB3EACA" w14:textId="77777777" w:rsidR="00133A31" w:rsidRDefault="00133A31" w:rsidP="00DF259A">
          <w:pPr>
            <w:pStyle w:val="Header"/>
            <w:spacing w:before="60" w:after="60"/>
          </w:pPr>
          <w:r>
            <w:rPr>
              <w:noProof/>
            </w:rPr>
            <w:drawing>
              <wp:inline distT="0" distB="0" distL="0" distR="0" wp14:anchorId="4066DFE5" wp14:editId="45A81F7F">
                <wp:extent cx="2716006" cy="586800"/>
                <wp:effectExtent l="0" t="0" r="825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 logo_CMYK.png"/>
                        <pic:cNvPicPr/>
                      </pic:nvPicPr>
                      <pic:blipFill>
                        <a:blip r:embed="rId1">
                          <a:extLst>
                            <a:ext uri="{28A0092B-C50C-407E-A947-70E740481C1C}">
                              <a14:useLocalDpi xmlns:a14="http://schemas.microsoft.com/office/drawing/2010/main" val="0"/>
                            </a:ext>
                          </a:extLst>
                        </a:blip>
                        <a:stretch>
                          <a:fillRect/>
                        </a:stretch>
                      </pic:blipFill>
                      <pic:spPr>
                        <a:xfrm>
                          <a:off x="0" y="0"/>
                          <a:ext cx="2716006" cy="586800"/>
                        </a:xfrm>
                        <a:prstGeom prst="rect">
                          <a:avLst/>
                        </a:prstGeom>
                      </pic:spPr>
                    </pic:pic>
                  </a:graphicData>
                </a:graphic>
              </wp:inline>
            </w:drawing>
          </w:r>
        </w:p>
      </w:tc>
      <w:tc>
        <w:tcPr>
          <w:tcW w:w="3402" w:type="dxa"/>
        </w:tcPr>
        <w:p w14:paraId="0342FB3D" w14:textId="77777777" w:rsidR="00133A31" w:rsidRPr="00E80CBE" w:rsidRDefault="00133A31" w:rsidP="00DF259A">
          <w:pPr>
            <w:pStyle w:val="Footer"/>
            <w:spacing w:before="60" w:after="60"/>
            <w:rPr>
              <w:rFonts w:cs="Arial"/>
              <w:b/>
              <w:color w:val="323E48"/>
              <w:sz w:val="20"/>
            </w:rPr>
          </w:pPr>
          <w:r w:rsidRPr="00E80CBE">
            <w:rPr>
              <w:rFonts w:cs="Arial"/>
              <w:b/>
              <w:color w:val="323E48"/>
              <w:sz w:val="20"/>
            </w:rPr>
            <w:t xml:space="preserve">Commissioner for </w:t>
          </w:r>
        </w:p>
        <w:p w14:paraId="3BACFAF3" w14:textId="77777777" w:rsidR="00133A31" w:rsidRPr="00E80CBE" w:rsidRDefault="00133A31" w:rsidP="00DF259A">
          <w:pPr>
            <w:pStyle w:val="Footer"/>
            <w:spacing w:before="60" w:after="60"/>
            <w:rPr>
              <w:rFonts w:cs="Arial"/>
              <w:b/>
              <w:color w:val="323E48"/>
              <w:sz w:val="20"/>
            </w:rPr>
          </w:pPr>
          <w:r w:rsidRPr="00E80CBE">
            <w:rPr>
              <w:rFonts w:cs="Arial"/>
              <w:b/>
              <w:color w:val="323E48"/>
              <w:sz w:val="20"/>
            </w:rPr>
            <w:t>Ethical Standards in Public Life</w:t>
          </w:r>
        </w:p>
        <w:p w14:paraId="76240110" w14:textId="77777777" w:rsidR="00133A31" w:rsidRPr="00E80CBE" w:rsidRDefault="00133A31" w:rsidP="00DF259A">
          <w:pPr>
            <w:pStyle w:val="Footer"/>
            <w:spacing w:before="60" w:after="60"/>
            <w:rPr>
              <w:rFonts w:cs="Arial"/>
              <w:b/>
              <w:color w:val="323E48"/>
              <w:sz w:val="20"/>
            </w:rPr>
          </w:pPr>
          <w:r w:rsidRPr="00E80CBE">
            <w:rPr>
              <w:rFonts w:cs="Arial"/>
              <w:b/>
              <w:color w:val="323E48"/>
              <w:sz w:val="20"/>
            </w:rPr>
            <w:t>in Scotland</w:t>
          </w:r>
        </w:p>
        <w:p w14:paraId="5E49A9EA" w14:textId="77777777" w:rsidR="00133A31" w:rsidRPr="00E80CBE" w:rsidRDefault="00133A31" w:rsidP="00DF259A">
          <w:pPr>
            <w:pStyle w:val="Footer"/>
            <w:spacing w:before="60" w:after="60"/>
            <w:rPr>
              <w:rFonts w:cs="Arial"/>
              <w:color w:val="323E48"/>
              <w:sz w:val="20"/>
            </w:rPr>
          </w:pPr>
          <w:r w:rsidRPr="00E80CBE">
            <w:rPr>
              <w:rFonts w:cs="Arial"/>
              <w:color w:val="323E48"/>
              <w:sz w:val="20"/>
            </w:rPr>
            <w:t>Thistle House</w:t>
          </w:r>
        </w:p>
        <w:p w14:paraId="4B084D73" w14:textId="77777777" w:rsidR="00133A31" w:rsidRPr="00E80CBE" w:rsidRDefault="00133A31" w:rsidP="00DF259A">
          <w:pPr>
            <w:pStyle w:val="Footer"/>
            <w:spacing w:before="60" w:after="60"/>
            <w:rPr>
              <w:rFonts w:cs="Arial"/>
              <w:color w:val="323E48"/>
              <w:sz w:val="20"/>
            </w:rPr>
          </w:pPr>
          <w:r w:rsidRPr="00E80CBE">
            <w:rPr>
              <w:rFonts w:cs="Arial"/>
              <w:color w:val="323E48"/>
              <w:sz w:val="20"/>
            </w:rPr>
            <w:t>91 Haymarket Terrace</w:t>
          </w:r>
        </w:p>
        <w:p w14:paraId="18900DA5" w14:textId="77777777" w:rsidR="00133A31" w:rsidRPr="00E80CBE" w:rsidRDefault="00133A31" w:rsidP="00DF259A">
          <w:pPr>
            <w:pStyle w:val="Footer"/>
            <w:spacing w:before="60" w:after="60"/>
            <w:rPr>
              <w:rFonts w:cs="Arial"/>
              <w:color w:val="323E48"/>
              <w:sz w:val="20"/>
            </w:rPr>
          </w:pPr>
          <w:r w:rsidRPr="00E80CBE">
            <w:rPr>
              <w:rFonts w:cs="Arial"/>
              <w:color w:val="323E48"/>
              <w:sz w:val="20"/>
            </w:rPr>
            <w:t>Edinburgh</w:t>
          </w:r>
        </w:p>
        <w:p w14:paraId="696836C0" w14:textId="77777777" w:rsidR="00133A31" w:rsidRPr="00E80CBE" w:rsidRDefault="00133A31" w:rsidP="00DF259A">
          <w:pPr>
            <w:pStyle w:val="Header"/>
            <w:spacing w:before="60" w:after="60"/>
            <w:rPr>
              <w:rFonts w:cs="Arial"/>
              <w:color w:val="323E48"/>
              <w:sz w:val="20"/>
            </w:rPr>
          </w:pPr>
          <w:r w:rsidRPr="00E80CBE">
            <w:rPr>
              <w:rFonts w:cs="Arial"/>
              <w:color w:val="323E48"/>
              <w:sz w:val="20"/>
            </w:rPr>
            <w:t>EH12 5HE</w:t>
          </w:r>
        </w:p>
      </w:tc>
    </w:tr>
  </w:tbl>
  <w:p w14:paraId="25552005" w14:textId="6BEE7E5E" w:rsidR="00133A31" w:rsidRPr="00DF259A" w:rsidRDefault="00133A31" w:rsidP="00DF2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5B8C"/>
    <w:multiLevelType w:val="hybridMultilevel"/>
    <w:tmpl w:val="B3F65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447C3"/>
    <w:multiLevelType w:val="hybridMultilevel"/>
    <w:tmpl w:val="A3406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934DA"/>
    <w:multiLevelType w:val="hybridMultilevel"/>
    <w:tmpl w:val="4754CC56"/>
    <w:lvl w:ilvl="0" w:tplc="E348E760">
      <w:start w:val="1"/>
      <w:numFmt w:val="bullet"/>
      <w:lvlText w:val=""/>
      <w:lvlJc w:val="left"/>
      <w:pPr>
        <w:ind w:left="720" w:hanging="360"/>
      </w:pPr>
      <w:rPr>
        <w:rFonts w:ascii="Symbol" w:hAnsi="Symbol" w:hint="default"/>
        <w:color w:val="00A19A" w:themeColor="accent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D2715"/>
    <w:multiLevelType w:val="hybridMultilevel"/>
    <w:tmpl w:val="39166E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17695"/>
    <w:multiLevelType w:val="hybridMultilevel"/>
    <w:tmpl w:val="264C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C196D"/>
    <w:multiLevelType w:val="hybridMultilevel"/>
    <w:tmpl w:val="463E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B7980"/>
    <w:multiLevelType w:val="hybridMultilevel"/>
    <w:tmpl w:val="ADFAF830"/>
    <w:lvl w:ilvl="0" w:tplc="E348E760">
      <w:start w:val="1"/>
      <w:numFmt w:val="bullet"/>
      <w:lvlText w:val=""/>
      <w:lvlJc w:val="left"/>
      <w:pPr>
        <w:ind w:left="720" w:hanging="360"/>
      </w:pPr>
      <w:rPr>
        <w:rFonts w:ascii="Symbol" w:hAnsi="Symbol" w:hint="default"/>
        <w:color w:val="00A19A"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FD4161"/>
    <w:multiLevelType w:val="hybridMultilevel"/>
    <w:tmpl w:val="ECF2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0442FD"/>
    <w:multiLevelType w:val="hybridMultilevel"/>
    <w:tmpl w:val="695C5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8256A"/>
    <w:multiLevelType w:val="hybridMultilevel"/>
    <w:tmpl w:val="F904DA2C"/>
    <w:lvl w:ilvl="0" w:tplc="D502571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791D67"/>
    <w:multiLevelType w:val="hybridMultilevel"/>
    <w:tmpl w:val="4344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4D1846"/>
    <w:multiLevelType w:val="hybridMultilevel"/>
    <w:tmpl w:val="EED89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542BBD"/>
    <w:multiLevelType w:val="hybridMultilevel"/>
    <w:tmpl w:val="5C04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6783E"/>
    <w:multiLevelType w:val="hybridMultilevel"/>
    <w:tmpl w:val="C19CFA96"/>
    <w:lvl w:ilvl="0" w:tplc="87402E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A02EF4"/>
    <w:multiLevelType w:val="hybridMultilevel"/>
    <w:tmpl w:val="DDA0CEB2"/>
    <w:lvl w:ilvl="0" w:tplc="D502571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6576D"/>
    <w:multiLevelType w:val="hybridMultilevel"/>
    <w:tmpl w:val="58B20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AF5818"/>
    <w:multiLevelType w:val="hybridMultilevel"/>
    <w:tmpl w:val="CD98ED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20142D"/>
    <w:multiLevelType w:val="hybridMultilevel"/>
    <w:tmpl w:val="7B249F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883871"/>
    <w:multiLevelType w:val="hybridMultilevel"/>
    <w:tmpl w:val="2010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657DCF"/>
    <w:multiLevelType w:val="hybridMultilevel"/>
    <w:tmpl w:val="8414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647BEF"/>
    <w:multiLevelType w:val="hybridMultilevel"/>
    <w:tmpl w:val="9444610C"/>
    <w:lvl w:ilvl="0" w:tplc="D502571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160160"/>
    <w:multiLevelType w:val="hybridMultilevel"/>
    <w:tmpl w:val="51BE744E"/>
    <w:lvl w:ilvl="0" w:tplc="E348E760">
      <w:start w:val="1"/>
      <w:numFmt w:val="bullet"/>
      <w:lvlText w:val=""/>
      <w:lvlJc w:val="left"/>
      <w:pPr>
        <w:ind w:left="720" w:hanging="360"/>
      </w:pPr>
      <w:rPr>
        <w:rFonts w:ascii="Symbol" w:hAnsi="Symbol" w:hint="default"/>
        <w:color w:val="00A19A" w:themeColor="accent2"/>
      </w:rPr>
    </w:lvl>
    <w:lvl w:ilvl="1" w:tplc="4C721CBE">
      <w:start w:val="1"/>
      <w:numFmt w:val="bullet"/>
      <w:lvlText w:val="o"/>
      <w:lvlJc w:val="left"/>
      <w:pPr>
        <w:ind w:left="1440" w:hanging="360"/>
      </w:pPr>
      <w:rPr>
        <w:rFonts w:ascii="Courier New" w:hAnsi="Courier New" w:cs="Courier New" w:hint="default"/>
        <w:color w:val="00A19A" w:themeColor="accent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7F1ADA"/>
    <w:multiLevelType w:val="hybridMultilevel"/>
    <w:tmpl w:val="8BDCE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C16760"/>
    <w:multiLevelType w:val="hybridMultilevel"/>
    <w:tmpl w:val="32AA1980"/>
    <w:lvl w:ilvl="0" w:tplc="D502571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576842"/>
    <w:multiLevelType w:val="hybridMultilevel"/>
    <w:tmpl w:val="DBAE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CD1A8F"/>
    <w:multiLevelType w:val="hybridMultilevel"/>
    <w:tmpl w:val="CCA6A6D8"/>
    <w:lvl w:ilvl="0" w:tplc="5BD0A60E">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7783192"/>
    <w:multiLevelType w:val="hybridMultilevel"/>
    <w:tmpl w:val="CB7AC4C0"/>
    <w:lvl w:ilvl="0" w:tplc="6074E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AA4316"/>
    <w:multiLevelType w:val="hybridMultilevel"/>
    <w:tmpl w:val="1854C5D0"/>
    <w:lvl w:ilvl="0" w:tplc="2F3A319C">
      <w:start w:val="6"/>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8066E1A"/>
    <w:multiLevelType w:val="hybridMultilevel"/>
    <w:tmpl w:val="6C3CB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413E5B"/>
    <w:multiLevelType w:val="hybridMultilevel"/>
    <w:tmpl w:val="C758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321A07"/>
    <w:multiLevelType w:val="hybridMultilevel"/>
    <w:tmpl w:val="71460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D85E4E"/>
    <w:multiLevelType w:val="hybridMultilevel"/>
    <w:tmpl w:val="29C848E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45784718"/>
    <w:multiLevelType w:val="hybridMultilevel"/>
    <w:tmpl w:val="622A8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173C8A"/>
    <w:multiLevelType w:val="hybridMultilevel"/>
    <w:tmpl w:val="77A2E864"/>
    <w:lvl w:ilvl="0" w:tplc="A322F99E">
      <w:start w:val="1"/>
      <w:numFmt w:val="decimal"/>
      <w:pStyle w:val="ESC"/>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CC7A78"/>
    <w:multiLevelType w:val="hybridMultilevel"/>
    <w:tmpl w:val="57B8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A4E15"/>
    <w:multiLevelType w:val="hybridMultilevel"/>
    <w:tmpl w:val="5D947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8E27E4"/>
    <w:multiLevelType w:val="hybridMultilevel"/>
    <w:tmpl w:val="2EBC4B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3DC61DD"/>
    <w:multiLevelType w:val="hybridMultilevel"/>
    <w:tmpl w:val="E4AC516C"/>
    <w:lvl w:ilvl="0" w:tplc="D502571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E83DF1"/>
    <w:multiLevelType w:val="hybridMultilevel"/>
    <w:tmpl w:val="F28EC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9BA07D4"/>
    <w:multiLevelType w:val="hybridMultilevel"/>
    <w:tmpl w:val="0DA0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73610B"/>
    <w:multiLevelType w:val="hybridMultilevel"/>
    <w:tmpl w:val="49CA3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A447C5"/>
    <w:multiLevelType w:val="hybridMultilevel"/>
    <w:tmpl w:val="DBD0563E"/>
    <w:lvl w:ilvl="0" w:tplc="236E8BEA">
      <w:start w:val="1"/>
      <w:numFmt w:val="bullet"/>
      <w:lvlText w:val=""/>
      <w:lvlJc w:val="left"/>
      <w:pPr>
        <w:ind w:left="1080" w:hanging="360"/>
      </w:pPr>
      <w:rPr>
        <w:rFonts w:ascii="Symbol" w:hAnsi="Symbol" w:hint="default"/>
        <w:color w:val="8080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DEB38B9"/>
    <w:multiLevelType w:val="hybridMultilevel"/>
    <w:tmpl w:val="B6964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F84E9A"/>
    <w:multiLevelType w:val="hybridMultilevel"/>
    <w:tmpl w:val="83EEC4C6"/>
    <w:lvl w:ilvl="0" w:tplc="2F3A319C">
      <w:start w:val="6"/>
      <w:numFmt w:val="decimal"/>
      <w:lvlText w:val="%1."/>
      <w:lvlJc w:val="left"/>
      <w:pPr>
        <w:ind w:left="1896" w:hanging="360"/>
      </w:pPr>
      <w:rPr>
        <w:rFonts w:hint="default"/>
        <w:b/>
        <w:bCs/>
      </w:rPr>
    </w:lvl>
    <w:lvl w:ilvl="1" w:tplc="08090019" w:tentative="1">
      <w:start w:val="1"/>
      <w:numFmt w:val="lowerLetter"/>
      <w:lvlText w:val="%2."/>
      <w:lvlJc w:val="left"/>
      <w:pPr>
        <w:ind w:left="2616" w:hanging="360"/>
      </w:pPr>
    </w:lvl>
    <w:lvl w:ilvl="2" w:tplc="0809001B" w:tentative="1">
      <w:start w:val="1"/>
      <w:numFmt w:val="lowerRoman"/>
      <w:lvlText w:val="%3."/>
      <w:lvlJc w:val="right"/>
      <w:pPr>
        <w:ind w:left="3336" w:hanging="180"/>
      </w:pPr>
    </w:lvl>
    <w:lvl w:ilvl="3" w:tplc="0809000F" w:tentative="1">
      <w:start w:val="1"/>
      <w:numFmt w:val="decimal"/>
      <w:lvlText w:val="%4."/>
      <w:lvlJc w:val="left"/>
      <w:pPr>
        <w:ind w:left="4056" w:hanging="360"/>
      </w:pPr>
    </w:lvl>
    <w:lvl w:ilvl="4" w:tplc="08090019" w:tentative="1">
      <w:start w:val="1"/>
      <w:numFmt w:val="lowerLetter"/>
      <w:lvlText w:val="%5."/>
      <w:lvlJc w:val="left"/>
      <w:pPr>
        <w:ind w:left="4776" w:hanging="360"/>
      </w:pPr>
    </w:lvl>
    <w:lvl w:ilvl="5" w:tplc="0809001B" w:tentative="1">
      <w:start w:val="1"/>
      <w:numFmt w:val="lowerRoman"/>
      <w:lvlText w:val="%6."/>
      <w:lvlJc w:val="right"/>
      <w:pPr>
        <w:ind w:left="5496" w:hanging="180"/>
      </w:pPr>
    </w:lvl>
    <w:lvl w:ilvl="6" w:tplc="0809000F" w:tentative="1">
      <w:start w:val="1"/>
      <w:numFmt w:val="decimal"/>
      <w:lvlText w:val="%7."/>
      <w:lvlJc w:val="left"/>
      <w:pPr>
        <w:ind w:left="6216" w:hanging="360"/>
      </w:pPr>
    </w:lvl>
    <w:lvl w:ilvl="7" w:tplc="08090019" w:tentative="1">
      <w:start w:val="1"/>
      <w:numFmt w:val="lowerLetter"/>
      <w:lvlText w:val="%8."/>
      <w:lvlJc w:val="left"/>
      <w:pPr>
        <w:ind w:left="6936" w:hanging="360"/>
      </w:pPr>
    </w:lvl>
    <w:lvl w:ilvl="8" w:tplc="0809001B" w:tentative="1">
      <w:start w:val="1"/>
      <w:numFmt w:val="lowerRoman"/>
      <w:lvlText w:val="%9."/>
      <w:lvlJc w:val="right"/>
      <w:pPr>
        <w:ind w:left="7656" w:hanging="180"/>
      </w:pPr>
    </w:lvl>
  </w:abstractNum>
  <w:abstractNum w:abstractNumId="44" w15:restartNumberingAfterBreak="0">
    <w:nsid w:val="686E1CCB"/>
    <w:multiLevelType w:val="hybridMultilevel"/>
    <w:tmpl w:val="8E90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5828DE"/>
    <w:multiLevelType w:val="hybridMultilevel"/>
    <w:tmpl w:val="29947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FE783E"/>
    <w:multiLevelType w:val="hybridMultilevel"/>
    <w:tmpl w:val="4744726A"/>
    <w:lvl w:ilvl="0" w:tplc="E348E760">
      <w:start w:val="1"/>
      <w:numFmt w:val="bullet"/>
      <w:lvlText w:val=""/>
      <w:lvlJc w:val="left"/>
      <w:pPr>
        <w:ind w:left="720" w:hanging="360"/>
      </w:pPr>
      <w:rPr>
        <w:rFonts w:ascii="Symbol" w:hAnsi="Symbol" w:hint="default"/>
        <w:color w:val="00A19A"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46"/>
  </w:num>
  <w:num w:numId="4">
    <w:abstractNumId w:val="2"/>
  </w:num>
  <w:num w:numId="5">
    <w:abstractNumId w:val="21"/>
  </w:num>
  <w:num w:numId="6">
    <w:abstractNumId w:val="38"/>
  </w:num>
  <w:num w:numId="7">
    <w:abstractNumId w:val="41"/>
  </w:num>
  <w:num w:numId="8">
    <w:abstractNumId w:val="28"/>
  </w:num>
  <w:num w:numId="9">
    <w:abstractNumId w:val="15"/>
  </w:num>
  <w:num w:numId="10">
    <w:abstractNumId w:val="40"/>
  </w:num>
  <w:num w:numId="11">
    <w:abstractNumId w:val="33"/>
  </w:num>
  <w:num w:numId="12">
    <w:abstractNumId w:val="26"/>
  </w:num>
  <w:num w:numId="13">
    <w:abstractNumId w:val="17"/>
  </w:num>
  <w:num w:numId="14">
    <w:abstractNumId w:val="25"/>
  </w:num>
  <w:num w:numId="15">
    <w:abstractNumId w:val="27"/>
  </w:num>
  <w:num w:numId="16">
    <w:abstractNumId w:val="22"/>
  </w:num>
  <w:num w:numId="17">
    <w:abstractNumId w:val="36"/>
  </w:num>
  <w:num w:numId="18">
    <w:abstractNumId w:val="44"/>
  </w:num>
  <w:num w:numId="19">
    <w:abstractNumId w:val="43"/>
  </w:num>
  <w:num w:numId="20">
    <w:abstractNumId w:val="13"/>
  </w:num>
  <w:num w:numId="21">
    <w:abstractNumId w:val="31"/>
  </w:num>
  <w:num w:numId="22">
    <w:abstractNumId w:val="34"/>
  </w:num>
  <w:num w:numId="23">
    <w:abstractNumId w:val="39"/>
  </w:num>
  <w:num w:numId="24">
    <w:abstractNumId w:val="4"/>
  </w:num>
  <w:num w:numId="25">
    <w:abstractNumId w:val="1"/>
  </w:num>
  <w:num w:numId="26">
    <w:abstractNumId w:val="42"/>
  </w:num>
  <w:num w:numId="27">
    <w:abstractNumId w:val="10"/>
  </w:num>
  <w:num w:numId="28">
    <w:abstractNumId w:val="11"/>
  </w:num>
  <w:num w:numId="29">
    <w:abstractNumId w:val="7"/>
  </w:num>
  <w:num w:numId="30">
    <w:abstractNumId w:val="35"/>
  </w:num>
  <w:num w:numId="31">
    <w:abstractNumId w:val="5"/>
  </w:num>
  <w:num w:numId="32">
    <w:abstractNumId w:val="24"/>
  </w:num>
  <w:num w:numId="33">
    <w:abstractNumId w:val="0"/>
  </w:num>
  <w:num w:numId="34">
    <w:abstractNumId w:val="45"/>
  </w:num>
  <w:num w:numId="35">
    <w:abstractNumId w:val="33"/>
    <w:lvlOverride w:ilvl="0">
      <w:startOverride w:val="1"/>
    </w:lvlOverride>
  </w:num>
  <w:num w:numId="36">
    <w:abstractNumId w:val="20"/>
  </w:num>
  <w:num w:numId="37">
    <w:abstractNumId w:val="9"/>
  </w:num>
  <w:num w:numId="38">
    <w:abstractNumId w:val="23"/>
  </w:num>
  <w:num w:numId="39">
    <w:abstractNumId w:val="37"/>
  </w:num>
  <w:num w:numId="40">
    <w:abstractNumId w:val="18"/>
  </w:num>
  <w:num w:numId="41">
    <w:abstractNumId w:val="14"/>
  </w:num>
  <w:num w:numId="42">
    <w:abstractNumId w:val="16"/>
  </w:num>
  <w:num w:numId="43">
    <w:abstractNumId w:val="30"/>
  </w:num>
  <w:num w:numId="44">
    <w:abstractNumId w:val="32"/>
  </w:num>
  <w:num w:numId="45">
    <w:abstractNumId w:val="8"/>
  </w:num>
  <w:num w:numId="46">
    <w:abstractNumId w:val="29"/>
  </w:num>
  <w:num w:numId="47">
    <w:abstractNumId w:val="12"/>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DF"/>
    <w:rsid w:val="0000116A"/>
    <w:rsid w:val="000023E8"/>
    <w:rsid w:val="00003659"/>
    <w:rsid w:val="00005A46"/>
    <w:rsid w:val="000214C5"/>
    <w:rsid w:val="00022D6C"/>
    <w:rsid w:val="00034F33"/>
    <w:rsid w:val="000767FD"/>
    <w:rsid w:val="000816F2"/>
    <w:rsid w:val="000A73C2"/>
    <w:rsid w:val="000B4404"/>
    <w:rsid w:val="000E124C"/>
    <w:rsid w:val="000E2608"/>
    <w:rsid w:val="000F2E72"/>
    <w:rsid w:val="000F3C98"/>
    <w:rsid w:val="000F4935"/>
    <w:rsid w:val="0010339E"/>
    <w:rsid w:val="00110ADF"/>
    <w:rsid w:val="001165DC"/>
    <w:rsid w:val="00130146"/>
    <w:rsid w:val="00133A31"/>
    <w:rsid w:val="00133EFF"/>
    <w:rsid w:val="0013406B"/>
    <w:rsid w:val="00150B94"/>
    <w:rsid w:val="00170A1E"/>
    <w:rsid w:val="00180DA6"/>
    <w:rsid w:val="00190E14"/>
    <w:rsid w:val="001915BA"/>
    <w:rsid w:val="001934E2"/>
    <w:rsid w:val="00196D67"/>
    <w:rsid w:val="001A27A3"/>
    <w:rsid w:val="001B2EBC"/>
    <w:rsid w:val="001C5C85"/>
    <w:rsid w:val="001D54D3"/>
    <w:rsid w:val="001E4598"/>
    <w:rsid w:val="00234EFB"/>
    <w:rsid w:val="00235FD3"/>
    <w:rsid w:val="0025025D"/>
    <w:rsid w:val="002507B2"/>
    <w:rsid w:val="00252C92"/>
    <w:rsid w:val="00263D02"/>
    <w:rsid w:val="00280D9E"/>
    <w:rsid w:val="00287637"/>
    <w:rsid w:val="00292B3F"/>
    <w:rsid w:val="00293ED6"/>
    <w:rsid w:val="002942D7"/>
    <w:rsid w:val="00294B47"/>
    <w:rsid w:val="002B3C60"/>
    <w:rsid w:val="003136FA"/>
    <w:rsid w:val="00313E6E"/>
    <w:rsid w:val="003143F4"/>
    <w:rsid w:val="00315526"/>
    <w:rsid w:val="0033794B"/>
    <w:rsid w:val="00342983"/>
    <w:rsid w:val="0039156C"/>
    <w:rsid w:val="003C6BFF"/>
    <w:rsid w:val="003F7E34"/>
    <w:rsid w:val="00427C8B"/>
    <w:rsid w:val="00436377"/>
    <w:rsid w:val="00440D49"/>
    <w:rsid w:val="004441B9"/>
    <w:rsid w:val="00475028"/>
    <w:rsid w:val="00475448"/>
    <w:rsid w:val="0047552E"/>
    <w:rsid w:val="0049095B"/>
    <w:rsid w:val="004C07AC"/>
    <w:rsid w:val="004E6167"/>
    <w:rsid w:val="00504C89"/>
    <w:rsid w:val="005165F2"/>
    <w:rsid w:val="0053246F"/>
    <w:rsid w:val="00537A64"/>
    <w:rsid w:val="00552A78"/>
    <w:rsid w:val="00560901"/>
    <w:rsid w:val="00560AE0"/>
    <w:rsid w:val="00570F0E"/>
    <w:rsid w:val="005A7DD0"/>
    <w:rsid w:val="005B3FD5"/>
    <w:rsid w:val="005B5AEB"/>
    <w:rsid w:val="005B7D23"/>
    <w:rsid w:val="005C6FFB"/>
    <w:rsid w:val="00606010"/>
    <w:rsid w:val="0063076D"/>
    <w:rsid w:val="006339B5"/>
    <w:rsid w:val="0063532B"/>
    <w:rsid w:val="00636CD4"/>
    <w:rsid w:val="006406BD"/>
    <w:rsid w:val="00654ACC"/>
    <w:rsid w:val="00664CE0"/>
    <w:rsid w:val="00674B66"/>
    <w:rsid w:val="0068117A"/>
    <w:rsid w:val="00696D0B"/>
    <w:rsid w:val="006B25C8"/>
    <w:rsid w:val="006B6ECE"/>
    <w:rsid w:val="006C18A3"/>
    <w:rsid w:val="0070137A"/>
    <w:rsid w:val="00703B1B"/>
    <w:rsid w:val="00707293"/>
    <w:rsid w:val="00715C89"/>
    <w:rsid w:val="0071660B"/>
    <w:rsid w:val="00717AF4"/>
    <w:rsid w:val="00721F3A"/>
    <w:rsid w:val="00737743"/>
    <w:rsid w:val="00740EC2"/>
    <w:rsid w:val="00747E26"/>
    <w:rsid w:val="0076181D"/>
    <w:rsid w:val="007631B3"/>
    <w:rsid w:val="007650D1"/>
    <w:rsid w:val="0076623B"/>
    <w:rsid w:val="007712C7"/>
    <w:rsid w:val="0078715F"/>
    <w:rsid w:val="007A009D"/>
    <w:rsid w:val="007A3DC9"/>
    <w:rsid w:val="007B18F7"/>
    <w:rsid w:val="007C1E6E"/>
    <w:rsid w:val="007D455F"/>
    <w:rsid w:val="0081489C"/>
    <w:rsid w:val="00823552"/>
    <w:rsid w:val="008310C3"/>
    <w:rsid w:val="00854897"/>
    <w:rsid w:val="00854B9C"/>
    <w:rsid w:val="008717D1"/>
    <w:rsid w:val="00887A7D"/>
    <w:rsid w:val="0089780E"/>
    <w:rsid w:val="008B3054"/>
    <w:rsid w:val="008B50B5"/>
    <w:rsid w:val="008C0BCD"/>
    <w:rsid w:val="008C23CD"/>
    <w:rsid w:val="008D489C"/>
    <w:rsid w:val="008E1F32"/>
    <w:rsid w:val="008F2D58"/>
    <w:rsid w:val="009407ED"/>
    <w:rsid w:val="00942CE3"/>
    <w:rsid w:val="0094379E"/>
    <w:rsid w:val="00944BB0"/>
    <w:rsid w:val="009464D8"/>
    <w:rsid w:val="0094775E"/>
    <w:rsid w:val="0095240D"/>
    <w:rsid w:val="00954413"/>
    <w:rsid w:val="0096181E"/>
    <w:rsid w:val="0096300C"/>
    <w:rsid w:val="0096377F"/>
    <w:rsid w:val="00980116"/>
    <w:rsid w:val="009A5075"/>
    <w:rsid w:val="009B0C3C"/>
    <w:rsid w:val="00A000C1"/>
    <w:rsid w:val="00A062BC"/>
    <w:rsid w:val="00A1475C"/>
    <w:rsid w:val="00A16E3D"/>
    <w:rsid w:val="00A363BE"/>
    <w:rsid w:val="00A41FF8"/>
    <w:rsid w:val="00A54E64"/>
    <w:rsid w:val="00A54EE1"/>
    <w:rsid w:val="00A55DC2"/>
    <w:rsid w:val="00A620F8"/>
    <w:rsid w:val="00AA52F9"/>
    <w:rsid w:val="00AD01A6"/>
    <w:rsid w:val="00AE1635"/>
    <w:rsid w:val="00B2612C"/>
    <w:rsid w:val="00B302E6"/>
    <w:rsid w:val="00B321FF"/>
    <w:rsid w:val="00B368E3"/>
    <w:rsid w:val="00B4001C"/>
    <w:rsid w:val="00B41018"/>
    <w:rsid w:val="00B4146A"/>
    <w:rsid w:val="00B434EE"/>
    <w:rsid w:val="00B53EDC"/>
    <w:rsid w:val="00B54505"/>
    <w:rsid w:val="00B560C6"/>
    <w:rsid w:val="00BB1054"/>
    <w:rsid w:val="00BD2D53"/>
    <w:rsid w:val="00BD71FC"/>
    <w:rsid w:val="00BE7A06"/>
    <w:rsid w:val="00C11C7B"/>
    <w:rsid w:val="00C123C1"/>
    <w:rsid w:val="00C1704D"/>
    <w:rsid w:val="00C436DE"/>
    <w:rsid w:val="00C47094"/>
    <w:rsid w:val="00C637C2"/>
    <w:rsid w:val="00C708EB"/>
    <w:rsid w:val="00C87987"/>
    <w:rsid w:val="00C904D7"/>
    <w:rsid w:val="00C929A2"/>
    <w:rsid w:val="00CB67A0"/>
    <w:rsid w:val="00D05E88"/>
    <w:rsid w:val="00D315B2"/>
    <w:rsid w:val="00D3449E"/>
    <w:rsid w:val="00D36AC9"/>
    <w:rsid w:val="00D74CB7"/>
    <w:rsid w:val="00DA3A0C"/>
    <w:rsid w:val="00DA7F42"/>
    <w:rsid w:val="00DE6CDC"/>
    <w:rsid w:val="00DF259A"/>
    <w:rsid w:val="00E06DD4"/>
    <w:rsid w:val="00E10C99"/>
    <w:rsid w:val="00E36E03"/>
    <w:rsid w:val="00E66478"/>
    <w:rsid w:val="00E71F21"/>
    <w:rsid w:val="00E8089B"/>
    <w:rsid w:val="00E80CBE"/>
    <w:rsid w:val="00E81A5A"/>
    <w:rsid w:val="00E83B2B"/>
    <w:rsid w:val="00E874E3"/>
    <w:rsid w:val="00E953AD"/>
    <w:rsid w:val="00EA19CB"/>
    <w:rsid w:val="00EA4C14"/>
    <w:rsid w:val="00EA67CB"/>
    <w:rsid w:val="00EA7A15"/>
    <w:rsid w:val="00EB4E73"/>
    <w:rsid w:val="00EC2D66"/>
    <w:rsid w:val="00EF021C"/>
    <w:rsid w:val="00EF28C8"/>
    <w:rsid w:val="00F107ED"/>
    <w:rsid w:val="00F10BEB"/>
    <w:rsid w:val="00F16834"/>
    <w:rsid w:val="00F2358A"/>
    <w:rsid w:val="00F23B0E"/>
    <w:rsid w:val="00F24D83"/>
    <w:rsid w:val="00F407B6"/>
    <w:rsid w:val="00F44A89"/>
    <w:rsid w:val="00F76E69"/>
    <w:rsid w:val="00F800BF"/>
    <w:rsid w:val="00F96F64"/>
    <w:rsid w:val="00FA3ABA"/>
    <w:rsid w:val="00FA7F11"/>
    <w:rsid w:val="00FB5EC7"/>
    <w:rsid w:val="00FD320F"/>
    <w:rsid w:val="00FE2907"/>
    <w:rsid w:val="00FE2D4B"/>
    <w:rsid w:val="00FF0DEB"/>
    <w:rsid w:val="00FF5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EA05DF"/>
  <w15:chartTrackingRefBased/>
  <w15:docId w15:val="{13EBCB4D-E730-4A71-BD86-A89A8396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3C"/>
    <w:pPr>
      <w:spacing w:after="40" w:line="256" w:lineRule="auto"/>
    </w:pPr>
    <w:rPr>
      <w:rFonts w:ascii="Arial" w:hAnsi="Arial"/>
      <w:sz w:val="24"/>
    </w:rPr>
  </w:style>
  <w:style w:type="paragraph" w:styleId="Heading1">
    <w:name w:val="heading 1"/>
    <w:basedOn w:val="ESC"/>
    <w:next w:val="Normal"/>
    <w:link w:val="Heading1Char"/>
    <w:autoRedefine/>
    <w:qFormat/>
    <w:rsid w:val="00BD2D53"/>
    <w:pPr>
      <w:keepNext/>
      <w:outlineLvl w:val="0"/>
    </w:pPr>
    <w:rPr>
      <w:rFonts w:eastAsia="Times New Roman"/>
      <w:bCs w:val="0"/>
    </w:rPr>
  </w:style>
  <w:style w:type="paragraph" w:styleId="Heading2">
    <w:name w:val="heading 2"/>
    <w:basedOn w:val="Normal"/>
    <w:next w:val="Normal"/>
    <w:link w:val="Heading2Char"/>
    <w:qFormat/>
    <w:rsid w:val="00263D02"/>
    <w:pPr>
      <w:keepNext/>
      <w:spacing w:after="0" w:line="240" w:lineRule="auto"/>
      <w:outlineLvl w:val="1"/>
    </w:pPr>
    <w:rPr>
      <w:rFonts w:eastAsia="Times New Roman" w:cs="Arial"/>
      <w:bCs/>
      <w:iCs/>
      <w:color w:val="00A19A" w:themeColor="accent2"/>
      <w:szCs w:val="28"/>
    </w:rPr>
  </w:style>
  <w:style w:type="paragraph" w:styleId="Heading3">
    <w:name w:val="heading 3"/>
    <w:basedOn w:val="Normal"/>
    <w:next w:val="Normal"/>
    <w:link w:val="Heading3Char"/>
    <w:semiHidden/>
    <w:unhideWhenUsed/>
    <w:qFormat/>
    <w:rsid w:val="00C1704D"/>
    <w:pPr>
      <w:keepNext/>
      <w:spacing w:before="240" w:after="60" w:line="240" w:lineRule="auto"/>
      <w:outlineLvl w:val="2"/>
    </w:pPr>
    <w:rPr>
      <w:rFonts w:ascii="Cambria" w:eastAsia="Times New Roman" w:hAnsi="Cambria" w:cs="Times New Roman"/>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ADF"/>
  </w:style>
  <w:style w:type="paragraph" w:styleId="Footer">
    <w:name w:val="footer"/>
    <w:basedOn w:val="Normal"/>
    <w:link w:val="FooterChar"/>
    <w:uiPriority w:val="99"/>
    <w:unhideWhenUsed/>
    <w:rsid w:val="00110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ADF"/>
  </w:style>
  <w:style w:type="table" w:styleId="TableGrid">
    <w:name w:val="Table Grid"/>
    <w:basedOn w:val="TableNormal"/>
    <w:uiPriority w:val="39"/>
    <w:rsid w:val="00110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659"/>
    <w:rPr>
      <w:color w:val="2B6AAF" w:themeColor="hyperlink"/>
      <w:u w:val="single"/>
    </w:rPr>
  </w:style>
  <w:style w:type="character" w:styleId="UnresolvedMention">
    <w:name w:val="Unresolved Mention"/>
    <w:basedOn w:val="DefaultParagraphFont"/>
    <w:uiPriority w:val="99"/>
    <w:semiHidden/>
    <w:unhideWhenUsed/>
    <w:rsid w:val="00003659"/>
    <w:rPr>
      <w:color w:val="605E5C"/>
      <w:shd w:val="clear" w:color="auto" w:fill="E1DFDD"/>
    </w:rPr>
  </w:style>
  <w:style w:type="paragraph" w:styleId="ListParagraph">
    <w:name w:val="List Paragraph"/>
    <w:basedOn w:val="Normal"/>
    <w:link w:val="ListParagraphChar"/>
    <w:uiPriority w:val="34"/>
    <w:qFormat/>
    <w:rsid w:val="0063076D"/>
    <w:pPr>
      <w:spacing w:line="259" w:lineRule="auto"/>
      <w:ind w:left="720"/>
      <w:contextualSpacing/>
    </w:pPr>
  </w:style>
  <w:style w:type="character" w:customStyle="1" w:styleId="Heading1Char">
    <w:name w:val="Heading 1 Char"/>
    <w:basedOn w:val="DefaultParagraphFont"/>
    <w:link w:val="Heading1"/>
    <w:rsid w:val="00BD2D53"/>
    <w:rPr>
      <w:rFonts w:ascii="Arial" w:eastAsia="Times New Roman" w:hAnsi="Arial" w:cs="Arial"/>
      <w:b/>
      <w:sz w:val="24"/>
      <w:szCs w:val="24"/>
    </w:rPr>
  </w:style>
  <w:style w:type="character" w:customStyle="1" w:styleId="Heading2Char">
    <w:name w:val="Heading 2 Char"/>
    <w:basedOn w:val="DefaultParagraphFont"/>
    <w:link w:val="Heading2"/>
    <w:rsid w:val="00263D02"/>
    <w:rPr>
      <w:rFonts w:ascii="Arial" w:eastAsia="Times New Roman" w:hAnsi="Arial" w:cs="Arial"/>
      <w:bCs/>
      <w:iCs/>
      <w:color w:val="00A19A" w:themeColor="accent2"/>
      <w:sz w:val="24"/>
      <w:szCs w:val="28"/>
    </w:rPr>
  </w:style>
  <w:style w:type="character" w:customStyle="1" w:styleId="Heading3Char">
    <w:name w:val="Heading 3 Char"/>
    <w:basedOn w:val="DefaultParagraphFont"/>
    <w:link w:val="Heading3"/>
    <w:semiHidden/>
    <w:rsid w:val="00C1704D"/>
    <w:rPr>
      <w:rFonts w:ascii="Cambria" w:eastAsia="Times New Roman" w:hAnsi="Cambria" w:cs="Times New Roman"/>
      <w:b/>
      <w:bCs/>
      <w:sz w:val="26"/>
      <w:szCs w:val="26"/>
      <w:lang w:eastAsia="en-GB"/>
    </w:rPr>
  </w:style>
  <w:style w:type="paragraph" w:styleId="Title">
    <w:name w:val="Title"/>
    <w:basedOn w:val="Normal"/>
    <w:link w:val="TitleChar"/>
    <w:autoRedefine/>
    <w:qFormat/>
    <w:rsid w:val="00C1704D"/>
    <w:pPr>
      <w:spacing w:after="0" w:line="240" w:lineRule="auto"/>
      <w:jc w:val="both"/>
    </w:pPr>
    <w:rPr>
      <w:rFonts w:eastAsia="Times New Roman" w:cs="Arial"/>
      <w:sz w:val="20"/>
      <w:szCs w:val="20"/>
    </w:rPr>
  </w:style>
  <w:style w:type="character" w:customStyle="1" w:styleId="TitleChar">
    <w:name w:val="Title Char"/>
    <w:basedOn w:val="DefaultParagraphFont"/>
    <w:link w:val="Title"/>
    <w:rsid w:val="00C1704D"/>
    <w:rPr>
      <w:rFonts w:ascii="Arial" w:eastAsia="Times New Roman" w:hAnsi="Arial" w:cs="Arial"/>
      <w:sz w:val="20"/>
      <w:szCs w:val="20"/>
    </w:rPr>
  </w:style>
  <w:style w:type="paragraph" w:styleId="BodyText3">
    <w:name w:val="Body Text 3"/>
    <w:basedOn w:val="Normal"/>
    <w:link w:val="BodyText3Char"/>
    <w:rsid w:val="00C1704D"/>
    <w:pPr>
      <w:spacing w:after="0" w:line="240" w:lineRule="auto"/>
      <w:jc w:val="both"/>
    </w:pPr>
    <w:rPr>
      <w:rFonts w:ascii="Times New Roman" w:eastAsia="Times New Roman" w:hAnsi="Times New Roman" w:cs="Times New Roman"/>
      <w:bCs/>
      <w:szCs w:val="20"/>
    </w:rPr>
  </w:style>
  <w:style w:type="character" w:customStyle="1" w:styleId="BodyText3Char">
    <w:name w:val="Body Text 3 Char"/>
    <w:basedOn w:val="DefaultParagraphFont"/>
    <w:link w:val="BodyText3"/>
    <w:rsid w:val="00C1704D"/>
    <w:rPr>
      <w:rFonts w:ascii="Times New Roman" w:eastAsia="Times New Roman" w:hAnsi="Times New Roman" w:cs="Times New Roman"/>
      <w:bCs/>
      <w:sz w:val="24"/>
      <w:szCs w:val="20"/>
    </w:rPr>
  </w:style>
  <w:style w:type="paragraph" w:styleId="NormalWeb">
    <w:name w:val="Normal (Web)"/>
    <w:basedOn w:val="Normal"/>
    <w:uiPriority w:val="99"/>
    <w:unhideWhenUsed/>
    <w:rsid w:val="00C1704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606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010"/>
    <w:rPr>
      <w:rFonts w:ascii="Segoe UI" w:hAnsi="Segoe UI" w:cs="Segoe UI"/>
      <w:sz w:val="18"/>
      <w:szCs w:val="18"/>
    </w:rPr>
  </w:style>
  <w:style w:type="character" w:styleId="FollowedHyperlink">
    <w:name w:val="FollowedHyperlink"/>
    <w:basedOn w:val="DefaultParagraphFont"/>
    <w:uiPriority w:val="99"/>
    <w:semiHidden/>
    <w:unhideWhenUsed/>
    <w:rsid w:val="00537A64"/>
    <w:rPr>
      <w:color w:val="C24F97" w:themeColor="followedHyperlink"/>
      <w:u w:val="single"/>
    </w:rPr>
  </w:style>
  <w:style w:type="character" w:styleId="CommentReference">
    <w:name w:val="annotation reference"/>
    <w:basedOn w:val="DefaultParagraphFont"/>
    <w:uiPriority w:val="99"/>
    <w:semiHidden/>
    <w:unhideWhenUsed/>
    <w:rsid w:val="00F76E69"/>
    <w:rPr>
      <w:sz w:val="16"/>
      <w:szCs w:val="16"/>
    </w:rPr>
  </w:style>
  <w:style w:type="paragraph" w:styleId="CommentText">
    <w:name w:val="annotation text"/>
    <w:basedOn w:val="Normal"/>
    <w:link w:val="CommentTextChar"/>
    <w:uiPriority w:val="99"/>
    <w:semiHidden/>
    <w:unhideWhenUsed/>
    <w:rsid w:val="00F76E69"/>
    <w:pPr>
      <w:spacing w:line="240" w:lineRule="auto"/>
    </w:pPr>
    <w:rPr>
      <w:sz w:val="20"/>
      <w:szCs w:val="20"/>
    </w:rPr>
  </w:style>
  <w:style w:type="character" w:customStyle="1" w:styleId="CommentTextChar">
    <w:name w:val="Comment Text Char"/>
    <w:basedOn w:val="DefaultParagraphFont"/>
    <w:link w:val="CommentText"/>
    <w:uiPriority w:val="99"/>
    <w:semiHidden/>
    <w:rsid w:val="00F76E69"/>
    <w:rPr>
      <w:sz w:val="20"/>
      <w:szCs w:val="20"/>
    </w:rPr>
  </w:style>
  <w:style w:type="paragraph" w:styleId="CommentSubject">
    <w:name w:val="annotation subject"/>
    <w:basedOn w:val="CommentText"/>
    <w:next w:val="CommentText"/>
    <w:link w:val="CommentSubjectChar"/>
    <w:uiPriority w:val="99"/>
    <w:semiHidden/>
    <w:unhideWhenUsed/>
    <w:rsid w:val="00F76E69"/>
    <w:rPr>
      <w:b/>
      <w:bCs/>
    </w:rPr>
  </w:style>
  <w:style w:type="character" w:customStyle="1" w:styleId="CommentSubjectChar">
    <w:name w:val="Comment Subject Char"/>
    <w:basedOn w:val="CommentTextChar"/>
    <w:link w:val="CommentSubject"/>
    <w:uiPriority w:val="99"/>
    <w:semiHidden/>
    <w:rsid w:val="00F76E69"/>
    <w:rPr>
      <w:b/>
      <w:bCs/>
      <w:sz w:val="20"/>
      <w:szCs w:val="20"/>
    </w:rPr>
  </w:style>
  <w:style w:type="paragraph" w:customStyle="1" w:styleId="ESC">
    <w:name w:val="ESC"/>
    <w:basedOn w:val="ListParagraph"/>
    <w:link w:val="ESCChar"/>
    <w:qFormat/>
    <w:rsid w:val="00BD2D53"/>
    <w:pPr>
      <w:numPr>
        <w:numId w:val="11"/>
      </w:numPr>
      <w:spacing w:after="0" w:line="240" w:lineRule="auto"/>
    </w:pPr>
    <w:rPr>
      <w:rFonts w:cs="Arial"/>
      <w:b/>
      <w:bCs/>
      <w:szCs w:val="24"/>
    </w:rPr>
  </w:style>
  <w:style w:type="paragraph" w:customStyle="1" w:styleId="ESC2">
    <w:name w:val="ESC2"/>
    <w:basedOn w:val="Normal"/>
    <w:link w:val="ESC2Char"/>
    <w:qFormat/>
    <w:rsid w:val="00BD2D53"/>
    <w:pPr>
      <w:spacing w:after="0" w:line="240" w:lineRule="auto"/>
      <w:ind w:firstLine="720"/>
    </w:pPr>
    <w:rPr>
      <w:rFonts w:cs="Arial"/>
      <w:color w:val="00A19A" w:themeColor="accent2"/>
      <w:szCs w:val="24"/>
    </w:rPr>
  </w:style>
  <w:style w:type="character" w:customStyle="1" w:styleId="ListParagraphChar">
    <w:name w:val="List Paragraph Char"/>
    <w:basedOn w:val="DefaultParagraphFont"/>
    <w:link w:val="ListParagraph"/>
    <w:uiPriority w:val="34"/>
    <w:rsid w:val="00BD2D53"/>
  </w:style>
  <w:style w:type="character" w:customStyle="1" w:styleId="ESCChar">
    <w:name w:val="ESC Char"/>
    <w:basedOn w:val="ListParagraphChar"/>
    <w:link w:val="ESC"/>
    <w:rsid w:val="00BD2D53"/>
    <w:rPr>
      <w:rFonts w:ascii="Arial" w:hAnsi="Arial" w:cs="Arial"/>
      <w:b/>
      <w:bCs/>
      <w:sz w:val="24"/>
      <w:szCs w:val="24"/>
    </w:rPr>
  </w:style>
  <w:style w:type="paragraph" w:styleId="TOCHeading">
    <w:name w:val="TOC Heading"/>
    <w:basedOn w:val="Heading1"/>
    <w:next w:val="Normal"/>
    <w:uiPriority w:val="39"/>
    <w:unhideWhenUsed/>
    <w:qFormat/>
    <w:rsid w:val="00BD2D53"/>
    <w:pPr>
      <w:keepLines/>
      <w:spacing w:before="240" w:line="259" w:lineRule="auto"/>
      <w:outlineLvl w:val="9"/>
    </w:pPr>
    <w:rPr>
      <w:rFonts w:asciiTheme="majorHAnsi" w:eastAsiaTheme="majorEastAsia" w:hAnsiTheme="majorHAnsi" w:cstheme="majorBidi"/>
      <w:b w:val="0"/>
      <w:bCs/>
      <w:color w:val="252E35" w:themeColor="accent1" w:themeShade="BF"/>
      <w:sz w:val="32"/>
      <w:szCs w:val="32"/>
      <w:lang w:val="en-US"/>
    </w:rPr>
  </w:style>
  <w:style w:type="character" w:customStyle="1" w:styleId="ESC2Char">
    <w:name w:val="ESC2 Char"/>
    <w:basedOn w:val="DefaultParagraphFont"/>
    <w:link w:val="ESC2"/>
    <w:rsid w:val="00BD2D53"/>
    <w:rPr>
      <w:rFonts w:ascii="Arial" w:hAnsi="Arial" w:cs="Arial"/>
      <w:color w:val="00A19A" w:themeColor="accent2"/>
      <w:sz w:val="24"/>
      <w:szCs w:val="24"/>
    </w:rPr>
  </w:style>
  <w:style w:type="paragraph" w:styleId="TOC1">
    <w:name w:val="toc 1"/>
    <w:basedOn w:val="Normal"/>
    <w:next w:val="Normal"/>
    <w:autoRedefine/>
    <w:uiPriority w:val="39"/>
    <w:unhideWhenUsed/>
    <w:rsid w:val="00263D02"/>
    <w:pPr>
      <w:spacing w:after="100"/>
    </w:pPr>
  </w:style>
  <w:style w:type="paragraph" w:styleId="TOC2">
    <w:name w:val="toc 2"/>
    <w:basedOn w:val="Normal"/>
    <w:next w:val="Normal"/>
    <w:autoRedefine/>
    <w:uiPriority w:val="39"/>
    <w:unhideWhenUsed/>
    <w:rsid w:val="00263D02"/>
    <w:pPr>
      <w:spacing w:after="100"/>
      <w:ind w:left="220"/>
    </w:pPr>
  </w:style>
  <w:style w:type="character" w:styleId="Emphasis">
    <w:name w:val="Emphasis"/>
    <w:qFormat/>
    <w:rsid w:val="009B0C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104328">
      <w:bodyDiv w:val="1"/>
      <w:marLeft w:val="0"/>
      <w:marRight w:val="0"/>
      <w:marTop w:val="0"/>
      <w:marBottom w:val="0"/>
      <w:divBdr>
        <w:top w:val="none" w:sz="0" w:space="0" w:color="auto"/>
        <w:left w:val="none" w:sz="0" w:space="0" w:color="auto"/>
        <w:bottom w:val="none" w:sz="0" w:space="0" w:color="auto"/>
        <w:right w:val="none" w:sz="0" w:space="0" w:color="auto"/>
      </w:divBdr>
    </w:div>
    <w:div w:id="195050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4546A"/>
      </a:dk2>
      <a:lt2>
        <a:srgbClr val="E7E6E6"/>
      </a:lt2>
      <a:accent1>
        <a:srgbClr val="323E48"/>
      </a:accent1>
      <a:accent2>
        <a:srgbClr val="00A19A"/>
      </a:accent2>
      <a:accent3>
        <a:srgbClr val="8ACBBF"/>
      </a:accent3>
      <a:accent4>
        <a:srgbClr val="8884BF"/>
      </a:accent4>
      <a:accent5>
        <a:srgbClr val="457F7C"/>
      </a:accent5>
      <a:accent6>
        <a:srgbClr val="558DCA"/>
      </a:accent6>
      <a:hlink>
        <a:srgbClr val="2B6AAF"/>
      </a:hlink>
      <a:folHlink>
        <a:srgbClr val="C24F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BC497-A901-4013-AC1E-B052EC29D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Elder</dc:creator>
  <cp:keywords/>
  <dc:description/>
  <cp:lastModifiedBy>Katherine Lafreniere</cp:lastModifiedBy>
  <cp:revision>5</cp:revision>
  <cp:lastPrinted>2021-06-18T09:27:00Z</cp:lastPrinted>
  <dcterms:created xsi:type="dcterms:W3CDTF">2021-05-05T16:20:00Z</dcterms:created>
  <dcterms:modified xsi:type="dcterms:W3CDTF">2021-06-18T09:27:00Z</dcterms:modified>
</cp:coreProperties>
</file>